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jc w:val="center"/>
        <w:textAlignment w:val="auto"/>
        <w:outlineLvl w:val="0"/>
        <w:rPr>
          <w:rFonts w:hint="eastAsia" w:ascii="方正小标宋_GBK" w:hAnsi="Times New Roman" w:eastAsia="方正小标宋_GBK" w:cs="Times New Roman"/>
          <w:bCs/>
          <w:color w:val="auto"/>
          <w:sz w:val="72"/>
          <w:szCs w:val="72"/>
        </w:rPr>
      </w:pPr>
    </w:p>
    <w:p>
      <w:pPr>
        <w:pStyle w:val="34"/>
        <w:rPr>
          <w:rFonts w:hint="eastAsia"/>
          <w:color w:val="auto"/>
        </w:rPr>
      </w:pPr>
    </w:p>
    <w:p>
      <w:pPr>
        <w:adjustRightInd w:val="0"/>
        <w:snapToGrid w:val="0"/>
        <w:spacing w:line="240" w:lineRule="auto"/>
        <w:jc w:val="center"/>
        <w:outlineLvl w:val="0"/>
        <w:rPr>
          <w:rFonts w:hint="eastAsia" w:ascii="方正小标宋_GBK" w:hAnsi="Times New Roman" w:eastAsia="方正小标宋_GBK" w:cs="Times New Roman"/>
          <w:bCs/>
          <w:color w:val="auto"/>
          <w:sz w:val="72"/>
          <w:szCs w:val="72"/>
        </w:rPr>
      </w:pPr>
      <w:r>
        <w:rPr>
          <w:rFonts w:hint="eastAsia" w:ascii="方正小标宋_GBK" w:hAnsi="Times New Roman" w:eastAsia="方正小标宋_GBK" w:cs="Times New Roman"/>
          <w:bCs/>
          <w:color w:val="auto"/>
          <w:sz w:val="72"/>
          <w:szCs w:val="72"/>
        </w:rPr>
        <w:t>建设项目环境影响报告表</w:t>
      </w:r>
    </w:p>
    <w:p>
      <w:pPr>
        <w:adjustRightInd w:val="0"/>
        <w:snapToGrid w:val="0"/>
        <w:spacing w:before="192" w:beforeLines="80"/>
        <w:jc w:val="center"/>
        <w:rPr>
          <w:rFonts w:hint="eastAsia" w:ascii="楷体_GB2312" w:hAnsi="Times New Roman" w:eastAsia="楷体_GB2312" w:cs="Times New Roman"/>
          <w:bCs/>
          <w:color w:val="auto"/>
          <w:sz w:val="48"/>
          <w:szCs w:val="48"/>
        </w:rPr>
      </w:pPr>
      <w:r>
        <w:rPr>
          <w:rFonts w:hint="eastAsia" w:ascii="楷体_GB2312" w:hAnsi="Times New Roman" w:eastAsia="楷体_GB2312" w:cs="Times New Roman"/>
          <w:bCs/>
          <w:color w:val="auto"/>
          <w:sz w:val="48"/>
          <w:szCs w:val="48"/>
        </w:rPr>
        <w:t>（污染影响类）</w:t>
      </w:r>
    </w:p>
    <w:p>
      <w:pPr>
        <w:rPr>
          <w:rFonts w:ascii="Times New Roman" w:hAnsi="Times New Roman" w:eastAsia="宋体" w:cs="Times New Roman"/>
          <w:color w:val="auto"/>
        </w:rPr>
      </w:pPr>
    </w:p>
    <w:p>
      <w:pPr>
        <w:jc w:val="center"/>
        <w:rPr>
          <w:rFonts w:ascii="Times New Roman" w:hAnsi="Times New Roman" w:eastAsia="仿宋" w:cs="Times New Roman"/>
          <w:color w:val="auto"/>
          <w:sz w:val="52"/>
          <w:szCs w:val="52"/>
        </w:rPr>
      </w:pPr>
    </w:p>
    <w:p>
      <w:pPr>
        <w:ind w:firstLine="1040"/>
        <w:rPr>
          <w:rFonts w:ascii="Times New Roman" w:hAnsi="Times New Roman" w:eastAsia="仿宋" w:cs="Times New Roman"/>
          <w:color w:val="auto"/>
          <w:sz w:val="44"/>
          <w:szCs w:val="44"/>
        </w:rPr>
      </w:pPr>
    </w:p>
    <w:p>
      <w:pPr>
        <w:ind w:firstLine="1040"/>
        <w:rPr>
          <w:rFonts w:ascii="Times New Roman" w:hAnsi="Times New Roman" w:eastAsia="仿宋" w:cs="Times New Roman"/>
          <w:color w:val="auto"/>
          <w:sz w:val="44"/>
          <w:szCs w:val="44"/>
        </w:rPr>
      </w:pPr>
    </w:p>
    <w:p>
      <w:pPr>
        <w:ind w:firstLine="1040"/>
        <w:rPr>
          <w:rFonts w:ascii="Times New Roman" w:hAnsi="Times New Roman" w:eastAsia="仿宋" w:cs="Times New Roman"/>
          <w:color w:val="auto"/>
          <w:sz w:val="44"/>
          <w:szCs w:val="44"/>
        </w:rPr>
      </w:pPr>
    </w:p>
    <w:p>
      <w:pPr>
        <w:adjustRightInd w:val="0"/>
        <w:snapToGrid w:val="0"/>
        <w:spacing w:line="360" w:lineRule="auto"/>
        <w:ind w:firstLine="360" w:firstLineChars="100"/>
        <w:rPr>
          <w:rFonts w:hint="default" w:ascii="仿宋_GB2312" w:hAnsi="Times New Roman" w:eastAsia="仿宋_GB2312" w:cs="Times New Roman"/>
          <w:color w:val="auto"/>
          <w:sz w:val="36"/>
          <w:szCs w:val="36"/>
          <w:u w:val="single"/>
          <w:lang w:val="en-US"/>
        </w:rPr>
      </w:pPr>
      <w:r>
        <w:rPr>
          <w:rFonts w:hint="eastAsia" w:ascii="仿宋_GB2312" w:hAnsi="Times New Roman" w:eastAsia="仿宋_GB2312" w:cs="Times New Roman"/>
          <w:color w:val="auto"/>
          <w:sz w:val="36"/>
          <w:szCs w:val="36"/>
        </w:rPr>
        <w:t>项目名称：</w:t>
      </w:r>
      <w:r>
        <w:rPr>
          <w:rFonts w:hint="eastAsia" w:ascii="仿宋_GB2312" w:eastAsia="仿宋_GB2312" w:cs="Times New Roman"/>
          <w:color w:val="auto"/>
          <w:sz w:val="36"/>
          <w:szCs w:val="36"/>
          <w:u w:val="single"/>
          <w:lang w:val="en-US" w:eastAsia="zh-CN"/>
        </w:rPr>
        <w:t xml:space="preserve">     </w:t>
      </w:r>
      <w:r>
        <w:rPr>
          <w:rFonts w:hint="eastAsia" w:ascii="仿宋_GB2312" w:hAnsi="Times New Roman" w:eastAsia="仿宋_GB2312" w:cs="Times New Roman"/>
          <w:color w:val="auto"/>
          <w:sz w:val="36"/>
          <w:szCs w:val="36"/>
          <w:u w:val="single"/>
        </w:rPr>
        <w:t>浆水酸菜及衍生品生产项目</w:t>
      </w:r>
      <w:r>
        <w:rPr>
          <w:rFonts w:hint="eastAsia" w:ascii="仿宋_GB2312" w:hAnsi="Times New Roman" w:eastAsia="仿宋_GB2312" w:cs="Times New Roman"/>
          <w:color w:val="auto"/>
          <w:sz w:val="36"/>
          <w:szCs w:val="36"/>
          <w:u w:val="single"/>
          <w:lang w:val="en-US" w:eastAsia="zh-CN"/>
        </w:rPr>
        <w:t xml:space="preserve"> </w:t>
      </w:r>
      <w:r>
        <w:rPr>
          <w:rFonts w:hint="eastAsia" w:ascii="仿宋_GB2312" w:eastAsia="仿宋_GB2312" w:cs="Times New Roman"/>
          <w:color w:val="auto"/>
          <w:sz w:val="36"/>
          <w:szCs w:val="36"/>
          <w:u w:val="single"/>
          <w:lang w:val="en-US" w:eastAsia="zh-CN"/>
        </w:rPr>
        <w:t xml:space="preserve"> </w:t>
      </w:r>
      <w:r>
        <w:rPr>
          <w:rFonts w:hint="eastAsia" w:ascii="仿宋_GB2312" w:hAnsi="Times New Roman" w:eastAsia="仿宋_GB2312" w:cs="Times New Roman"/>
          <w:color w:val="auto"/>
          <w:sz w:val="36"/>
          <w:szCs w:val="36"/>
          <w:u w:val="single"/>
          <w:lang w:val="en-US" w:eastAsia="zh-CN"/>
        </w:rPr>
        <w:t xml:space="preserve"> </w:t>
      </w:r>
      <w:r>
        <w:rPr>
          <w:rFonts w:hint="eastAsia" w:ascii="仿宋_GB2312" w:eastAsia="仿宋_GB2312" w:cs="Times New Roman"/>
          <w:color w:val="auto"/>
          <w:sz w:val="36"/>
          <w:szCs w:val="36"/>
          <w:u w:val="single"/>
          <w:lang w:val="en-US" w:eastAsia="zh-CN"/>
        </w:rPr>
        <w:t xml:space="preserve">  </w:t>
      </w:r>
    </w:p>
    <w:p>
      <w:pPr>
        <w:adjustRightInd w:val="0"/>
        <w:snapToGrid w:val="0"/>
        <w:spacing w:line="360" w:lineRule="auto"/>
        <w:ind w:firstLine="360" w:firstLineChars="100"/>
        <w:rPr>
          <w:rFonts w:hint="eastAsia" w:ascii="仿宋_GB2312" w:hAnsi="Times New Roman" w:eastAsia="仿宋_GB2312" w:cs="Times New Roman"/>
          <w:color w:val="auto"/>
          <w:sz w:val="36"/>
          <w:szCs w:val="36"/>
          <w:u w:val="single"/>
          <w:lang w:eastAsia="zh-CN"/>
        </w:rPr>
      </w:pPr>
      <w:r>
        <w:rPr>
          <w:rFonts w:hint="eastAsia" w:ascii="仿宋_GB2312" w:hAnsi="Times New Roman" w:eastAsia="仿宋_GB2312" w:cs="Times New Roman"/>
          <w:color w:val="auto"/>
          <w:sz w:val="36"/>
          <w:szCs w:val="36"/>
        </w:rPr>
        <w:t>建设单位（盖章）：</w:t>
      </w:r>
      <w:r>
        <w:rPr>
          <w:rFonts w:hint="eastAsia" w:ascii="仿宋_GB2312" w:hAnsi="Times New Roman" w:eastAsia="仿宋_GB2312" w:cs="Times New Roman"/>
          <w:color w:val="auto"/>
          <w:sz w:val="36"/>
          <w:szCs w:val="36"/>
          <w:u w:val="single"/>
          <w:lang w:eastAsia="zh-CN"/>
        </w:rPr>
        <w:t>临夏州五兴农业科技有限公司</w:t>
      </w:r>
    </w:p>
    <w:p>
      <w:pPr>
        <w:adjustRightInd w:val="0"/>
        <w:snapToGrid w:val="0"/>
        <w:spacing w:line="360" w:lineRule="auto"/>
        <w:ind w:firstLine="360" w:firstLineChars="100"/>
        <w:jc w:val="both"/>
        <w:rPr>
          <w:rFonts w:hint="default" w:ascii="仿宋_GB2312" w:hAnsi="Times New Roman" w:eastAsia="仿宋_GB2312" w:cs="Times New Roman"/>
          <w:color w:val="auto"/>
          <w:sz w:val="36"/>
          <w:szCs w:val="36"/>
          <w:u w:val="single"/>
          <w:lang w:val="en-US" w:eastAsia="zh-CN"/>
        </w:rPr>
      </w:pPr>
      <w:r>
        <w:rPr>
          <w:rFonts w:hint="eastAsia" w:ascii="仿宋_GB2312" w:hAnsi="Times New Roman" w:eastAsia="仿宋_GB2312" w:cs="Times New Roman"/>
          <w:color w:val="auto"/>
          <w:sz w:val="36"/>
          <w:szCs w:val="36"/>
        </w:rPr>
        <w:t>编制日期：</w:t>
      </w:r>
      <w:r>
        <w:rPr>
          <w:rFonts w:hint="eastAsia" w:ascii="仿宋_GB2312" w:eastAsia="仿宋_GB2312" w:cs="Times New Roman"/>
          <w:color w:val="auto"/>
          <w:sz w:val="36"/>
          <w:szCs w:val="36"/>
          <w:u w:val="single"/>
          <w:lang w:val="en-US" w:eastAsia="zh-CN"/>
        </w:rPr>
        <w:t xml:space="preserve">      </w:t>
      </w:r>
      <w:r>
        <w:rPr>
          <w:rFonts w:hint="eastAsia" w:ascii="仿宋_GB2312" w:hAnsi="Times New Roman" w:eastAsia="仿宋_GB2312" w:cs="Times New Roman"/>
          <w:color w:val="auto"/>
          <w:sz w:val="36"/>
          <w:szCs w:val="36"/>
          <w:u w:val="single"/>
        </w:rPr>
        <w:t>2024年</w:t>
      </w:r>
      <w:r>
        <w:rPr>
          <w:rFonts w:hint="eastAsia" w:ascii="仿宋_GB2312" w:eastAsia="仿宋_GB2312" w:cs="Times New Roman"/>
          <w:color w:val="auto"/>
          <w:sz w:val="36"/>
          <w:szCs w:val="36"/>
          <w:u w:val="single"/>
          <w:lang w:val="en-US" w:eastAsia="zh-CN"/>
        </w:rPr>
        <w:t>10</w:t>
      </w:r>
      <w:r>
        <w:rPr>
          <w:rFonts w:hint="eastAsia" w:ascii="仿宋_GB2312" w:hAnsi="Times New Roman" w:eastAsia="仿宋_GB2312" w:cs="Times New Roman"/>
          <w:color w:val="auto"/>
          <w:sz w:val="36"/>
          <w:szCs w:val="36"/>
          <w:u w:val="single"/>
        </w:rPr>
        <w:t>月</w:t>
      </w:r>
      <w:r>
        <w:rPr>
          <w:rFonts w:hint="eastAsia" w:ascii="仿宋_GB2312" w:eastAsia="仿宋_GB2312" w:cs="Times New Roman"/>
          <w:color w:val="auto"/>
          <w:sz w:val="36"/>
          <w:szCs w:val="36"/>
          <w:u w:val="single"/>
          <w:lang w:val="en-US" w:eastAsia="zh-CN"/>
        </w:rPr>
        <w:t xml:space="preserve">                 </w:t>
      </w:r>
    </w:p>
    <w:p>
      <w:pPr>
        <w:adjustRightInd w:val="0"/>
        <w:snapToGrid w:val="0"/>
        <w:spacing w:line="288" w:lineRule="auto"/>
        <w:rPr>
          <w:rFonts w:ascii="仿宋_GB2312" w:eastAsia="仿宋_GB2312"/>
          <w:color w:val="auto"/>
          <w:sz w:val="36"/>
          <w:szCs w:val="36"/>
          <w:u w:val="single"/>
        </w:rPr>
      </w:pPr>
      <w:bookmarkStart w:id="0" w:name="_Hlk57884087"/>
    </w:p>
    <w:p>
      <w:pPr>
        <w:pStyle w:val="34"/>
        <w:rPr>
          <w:rFonts w:ascii="仿宋_GB2312" w:eastAsia="仿宋_GB2312"/>
          <w:color w:val="auto"/>
          <w:sz w:val="36"/>
          <w:szCs w:val="36"/>
          <w:u w:val="single"/>
        </w:rPr>
      </w:pPr>
    </w:p>
    <w:p>
      <w:pPr>
        <w:bidi w:val="0"/>
        <w:rPr>
          <w:color w:val="auto"/>
        </w:rPr>
      </w:pPr>
    </w:p>
    <w:p>
      <w:pPr>
        <w:rPr>
          <w:rFonts w:ascii="仿宋_GB2312" w:eastAsia="仿宋_GB2312"/>
          <w:color w:val="auto"/>
          <w:sz w:val="36"/>
          <w:szCs w:val="36"/>
          <w:u w:val="single"/>
        </w:rPr>
      </w:pPr>
    </w:p>
    <w:p>
      <w:pPr>
        <w:pStyle w:val="34"/>
        <w:rPr>
          <w:color w:val="auto"/>
        </w:rPr>
      </w:pPr>
    </w:p>
    <w:p>
      <w:pPr>
        <w:bidi w:val="0"/>
        <w:rPr>
          <w:color w:val="auto"/>
        </w:rPr>
      </w:pPr>
    </w:p>
    <w:bookmarkEnd w:id="0"/>
    <w:p>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pPr>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4"/>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2"/>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4"/>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69"/>
        <w:gridCol w:w="2050"/>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9"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6901" w:type="dxa"/>
            <w:gridSpan w:val="3"/>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浆水酸菜及衍生品生产项目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9"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6901" w:type="dxa"/>
            <w:gridSpan w:val="3"/>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2408-622925-04-05-841583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9"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2050"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牛小齐</w:t>
            </w:r>
          </w:p>
        </w:tc>
        <w:tc>
          <w:tcPr>
            <w:tcW w:w="2212"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2639"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18109420399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9"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6901" w:type="dxa"/>
            <w:gridSpan w:val="3"/>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u w:val="single"/>
                <w:lang w:val="en-US" w:eastAsia="zh-CN"/>
              </w:rPr>
              <w:t>临夏</w:t>
            </w:r>
            <w:r>
              <w:rPr>
                <w:rFonts w:hint="eastAsia" w:cs="Times New Roman"/>
                <w:color w:val="auto"/>
                <w:sz w:val="24"/>
                <w:szCs w:val="24"/>
                <w:lang w:val="en-US" w:eastAsia="zh-CN"/>
              </w:rPr>
              <w:t>州</w:t>
            </w:r>
            <w:r>
              <w:rPr>
                <w:rFonts w:hint="default" w:ascii="Times New Roman" w:hAnsi="Times New Roman" w:eastAsia="宋体" w:cs="Times New Roman"/>
                <w:color w:val="auto"/>
                <w:sz w:val="24"/>
                <w:szCs w:val="24"/>
                <w:u w:val="single"/>
                <w:lang w:val="en-US" w:eastAsia="zh-CN"/>
              </w:rPr>
              <w:t>和政</w:t>
            </w:r>
            <w:r>
              <w:rPr>
                <w:rFonts w:hint="default" w:ascii="Times New Roman" w:hAnsi="Times New Roman" w:eastAsia="宋体" w:cs="Times New Roman"/>
                <w:color w:val="auto"/>
                <w:sz w:val="24"/>
                <w:szCs w:val="24"/>
                <w:u w:val="none"/>
                <w:lang w:val="en-US" w:eastAsia="zh-CN"/>
              </w:rPr>
              <w:t>县</w:t>
            </w:r>
            <w:r>
              <w:rPr>
                <w:rFonts w:hint="default" w:ascii="Times New Roman" w:hAnsi="Times New Roman" w:eastAsia="宋体" w:cs="Times New Roman"/>
                <w:color w:val="auto"/>
                <w:sz w:val="24"/>
                <w:szCs w:val="24"/>
                <w:u w:val="single"/>
              </w:rPr>
              <w:t>和政循环经济产业园区辐照产业园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9"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6901" w:type="dxa"/>
            <w:gridSpan w:val="3"/>
            <w:noWrap w:val="0"/>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纬度：</w:t>
            </w:r>
            <w:r>
              <w:rPr>
                <w:rFonts w:hint="default" w:ascii="Times New Roman" w:hAnsi="Times New Roman" w:eastAsia="宋体" w:cs="Times New Roman"/>
                <w:color w:val="auto"/>
                <w:sz w:val="24"/>
                <w:szCs w:val="24"/>
                <w:highlight w:val="none"/>
                <w:u w:val="single"/>
              </w:rPr>
              <w:t>1</w:t>
            </w:r>
            <w:r>
              <w:rPr>
                <w:rFonts w:hint="default" w:ascii="Times New Roman" w:hAnsi="Times New Roman" w:eastAsia="宋体" w:cs="Times New Roman"/>
                <w:color w:val="auto"/>
                <w:sz w:val="24"/>
                <w:szCs w:val="24"/>
                <w:highlight w:val="none"/>
                <w:u w:val="single"/>
                <w:lang w:val="en-US" w:eastAsia="zh-CN"/>
              </w:rPr>
              <w:t>03</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21</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56.010</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lang w:val="en-US" w:eastAsia="zh-CN"/>
              </w:rPr>
              <w:t>经度：</w:t>
            </w:r>
            <w:r>
              <w:rPr>
                <w:rFonts w:hint="default" w:ascii="Times New Roman" w:hAnsi="Times New Roman" w:eastAsia="宋体" w:cs="Times New Roman"/>
                <w:color w:val="auto"/>
                <w:sz w:val="24"/>
                <w:szCs w:val="24"/>
                <w:highlight w:val="none"/>
                <w:u w:val="single"/>
                <w:lang w:val="en-US" w:eastAsia="zh-CN"/>
              </w:rPr>
              <w:t>35</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24</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44.835</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969"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国民经济</w:t>
            </w:r>
          </w:p>
          <w:p>
            <w:pPr>
              <w:adjustRightInd w:val="0"/>
              <w:snapToGrid w:val="0"/>
              <w:spacing w:line="240" w:lineRule="auto"/>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行业类别</w:t>
            </w:r>
          </w:p>
        </w:tc>
        <w:tc>
          <w:tcPr>
            <w:tcW w:w="2050" w:type="dxa"/>
            <w:noWrap w:val="0"/>
            <w:vAlign w:val="center"/>
          </w:tcPr>
          <w:p>
            <w:pPr>
              <w:pStyle w:val="34"/>
              <w:spacing w:line="240" w:lineRule="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C146</w:t>
            </w:r>
            <w:r>
              <w:rPr>
                <w:rFonts w:hint="default" w:ascii="Times New Roman" w:hAnsi="Times New Roman" w:eastAsia="宋体" w:cs="Times New Roman"/>
                <w:b w:val="0"/>
                <w:bCs w:val="0"/>
                <w:color w:val="auto"/>
                <w:sz w:val="24"/>
                <w:szCs w:val="24"/>
                <w:highlight w:val="none"/>
              </w:rPr>
              <w:t>调味品、发酵制品制造</w:t>
            </w:r>
            <w:r>
              <w:rPr>
                <w:rFonts w:hint="default" w:ascii="Times New Roman" w:hAnsi="Times New Roman" w:eastAsia="宋体" w:cs="Times New Roman"/>
                <w:b w:val="0"/>
                <w:bCs w:val="0"/>
                <w:color w:val="auto"/>
                <w:sz w:val="24"/>
                <w:szCs w:val="24"/>
                <w:highlight w:val="none"/>
                <w:lang w:val="en-US" w:eastAsia="zh-CN"/>
              </w:rPr>
              <w:t>-1469</w:t>
            </w:r>
            <w:r>
              <w:rPr>
                <w:rFonts w:hint="default" w:ascii="Times New Roman" w:hAnsi="Times New Roman" w:eastAsia="宋体" w:cs="Times New Roman"/>
                <w:b w:val="0"/>
                <w:bCs w:val="0"/>
                <w:color w:val="auto"/>
                <w:sz w:val="24"/>
                <w:szCs w:val="24"/>
                <w:highlight w:val="none"/>
              </w:rPr>
              <w:t>其他调味品、发酵制品制造</w:t>
            </w:r>
          </w:p>
          <w:p>
            <w:pPr>
              <w:adjustRightInd w:val="0"/>
              <w:snapToGrid w:val="0"/>
              <w:spacing w:line="240" w:lineRule="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D441</w:t>
            </w:r>
            <w:r>
              <w:rPr>
                <w:rFonts w:hint="default" w:ascii="Times New Roman" w:hAnsi="Times New Roman" w:eastAsia="宋体" w:cs="Times New Roman"/>
                <w:b w:val="0"/>
                <w:bCs w:val="0"/>
                <w:color w:val="auto"/>
                <w:sz w:val="24"/>
                <w:szCs w:val="24"/>
                <w:highlight w:val="none"/>
              </w:rPr>
              <w:t>电力、热力、燃气及水生产和供应业</w:t>
            </w:r>
            <w:r>
              <w:rPr>
                <w:rFonts w:hint="default" w:ascii="Times New Roman" w:hAnsi="Times New Roman" w:eastAsia="宋体" w:cs="Times New Roman"/>
                <w:b w:val="0"/>
                <w:bCs w:val="0"/>
                <w:color w:val="auto"/>
                <w:sz w:val="24"/>
                <w:szCs w:val="24"/>
                <w:highlight w:val="none"/>
                <w:lang w:val="en-US" w:eastAsia="zh-CN"/>
              </w:rPr>
              <w:t>4430-</w:t>
            </w:r>
            <w:r>
              <w:rPr>
                <w:rFonts w:hint="default" w:ascii="Times New Roman" w:hAnsi="Times New Roman" w:eastAsia="宋体" w:cs="Times New Roman"/>
                <w:b w:val="0"/>
                <w:bCs w:val="0"/>
                <w:color w:val="auto"/>
                <w:sz w:val="24"/>
                <w:szCs w:val="24"/>
                <w:highlight w:val="none"/>
              </w:rPr>
              <w:t>热力生产和供应</w:t>
            </w:r>
          </w:p>
        </w:tc>
        <w:tc>
          <w:tcPr>
            <w:tcW w:w="2212"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rPr>
            </w:pPr>
            <w:bookmarkStart w:id="1" w:name="_Hlk49843745"/>
            <w:r>
              <w:rPr>
                <w:rFonts w:hint="default" w:ascii="Times New Roman" w:hAnsi="Times New Roman" w:eastAsia="宋体" w:cs="Times New Roman"/>
                <w:color w:val="auto"/>
                <w:sz w:val="24"/>
                <w:szCs w:val="24"/>
                <w:highlight w:val="none"/>
              </w:rPr>
              <w:t>建设项目</w:t>
            </w:r>
          </w:p>
          <w:p>
            <w:pPr>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1"/>
          </w:p>
        </w:tc>
        <w:tc>
          <w:tcPr>
            <w:tcW w:w="2639" w:type="dxa"/>
            <w:noWrap w:val="0"/>
            <w:vAlign w:val="center"/>
          </w:tcPr>
          <w:p>
            <w:pPr>
              <w:adjustRightInd w:val="0"/>
              <w:snapToGrid w:val="0"/>
              <w:spacing w:line="24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十一、食品制造业14、调味品、发酵制品制造146*-其他（单纯混合、分装的除外）</w:t>
            </w:r>
          </w:p>
          <w:p>
            <w:pPr>
              <w:adjustRightInd w:val="0"/>
              <w:snapToGrid w:val="0"/>
              <w:spacing w:line="24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四十一、电力、热力生产和供应业、热力生产和供应工程-天然气锅炉总容量1吨/小时（0.7兆瓦）以上的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969"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2050" w:type="dxa"/>
            <w:noWrap w:val="0"/>
            <w:vAlign w:val="center"/>
          </w:tcPr>
          <w:p>
            <w:pPr>
              <w:spacing w:line="24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新建（迁建）</w:t>
            </w:r>
          </w:p>
          <w:p>
            <w:pPr>
              <w:spacing w:line="24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改建</w:t>
            </w:r>
          </w:p>
          <w:p>
            <w:pPr>
              <w:spacing w:line="24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扩建</w:t>
            </w:r>
          </w:p>
          <w:p>
            <w:pPr>
              <w:spacing w:line="24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技术改造</w:t>
            </w:r>
          </w:p>
        </w:tc>
        <w:tc>
          <w:tcPr>
            <w:tcW w:w="2212"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2639" w:type="dxa"/>
            <w:noWrap w:val="0"/>
            <w:vAlign w:val="center"/>
          </w:tcPr>
          <w:p>
            <w:pPr>
              <w:spacing w:line="24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首次申报项目</w:t>
            </w:r>
          </w:p>
          <w:p>
            <w:pPr>
              <w:spacing w:line="24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不予批准后再次申报项目</w:t>
            </w:r>
          </w:p>
          <w:p>
            <w:pPr>
              <w:spacing w:line="24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超五年重新审核项目</w:t>
            </w:r>
          </w:p>
          <w:p>
            <w:pPr>
              <w:spacing w:line="24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969"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备案）部门（选填）</w:t>
            </w:r>
          </w:p>
        </w:tc>
        <w:tc>
          <w:tcPr>
            <w:tcW w:w="2050"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临夏州和政县发展和改革局</w:t>
            </w:r>
          </w:p>
        </w:tc>
        <w:tc>
          <w:tcPr>
            <w:tcW w:w="2212"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备案）文号（选填）</w:t>
            </w:r>
          </w:p>
        </w:tc>
        <w:tc>
          <w:tcPr>
            <w:tcW w:w="2639"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临夏州和政县发展和改革局备[2024]41号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9"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050" w:type="dxa"/>
            <w:noWrap w:val="0"/>
            <w:vAlign w:val="center"/>
          </w:tcPr>
          <w:p>
            <w:pPr>
              <w:tabs>
                <w:tab w:val="left" w:pos="412"/>
                <w:tab w:val="center" w:pos="1080"/>
              </w:tabs>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2000</w:t>
            </w:r>
            <w:r>
              <w:rPr>
                <w:rFonts w:hint="default" w:ascii="Times New Roman" w:hAnsi="Times New Roman" w:eastAsia="宋体" w:cs="Times New Roman"/>
                <w:color w:val="auto"/>
                <w:sz w:val="24"/>
                <w:szCs w:val="24"/>
                <w:highlight w:val="none"/>
              </w:rPr>
              <w:t>万</w:t>
            </w:r>
          </w:p>
        </w:tc>
        <w:tc>
          <w:tcPr>
            <w:tcW w:w="2212"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639"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42.5</w:t>
            </w:r>
            <w:r>
              <w:rPr>
                <w:rFonts w:hint="default" w:ascii="Times New Roman" w:hAnsi="Times New Roman" w:eastAsia="宋体" w:cs="Times New Roman"/>
                <w:color w:val="auto"/>
                <w:sz w:val="24"/>
                <w:szCs w:val="24"/>
                <w:highlight w:val="none"/>
              </w:rPr>
              <w:t>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9"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050"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2.1</w:t>
            </w:r>
          </w:p>
        </w:tc>
        <w:tc>
          <w:tcPr>
            <w:tcW w:w="2212"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639" w:type="dxa"/>
            <w:noWrap w:val="0"/>
            <w:vAlign w:val="center"/>
          </w:tcPr>
          <w:p>
            <w:pPr>
              <w:adjustRightInd w:val="0"/>
              <w:snapToGrid w:val="0"/>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9"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2050" w:type="dxa"/>
            <w:noWrap w:val="0"/>
            <w:vAlign w:val="center"/>
          </w:tcPr>
          <w:p>
            <w:pPr>
              <w:adjustRightInd w:val="0"/>
              <w:snapToGrid w:val="0"/>
              <w:spacing w:line="24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否</w:t>
            </w:r>
          </w:p>
          <w:p>
            <w:pPr>
              <w:adjustRightInd w:val="0"/>
              <w:snapToGrid w:val="0"/>
              <w:spacing w:line="24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u w:val="single"/>
              </w:rPr>
              <w:t xml:space="preserve">             </w:t>
            </w:r>
          </w:p>
        </w:tc>
        <w:tc>
          <w:tcPr>
            <w:tcW w:w="2212"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用地（用海）</w:t>
            </w:r>
          </w:p>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2639"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4236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969" w:type="dxa"/>
            <w:noWrap w:val="0"/>
            <w:vAlign w:val="center"/>
          </w:tcPr>
          <w:p>
            <w:pPr>
              <w:autoSpaceDE w:val="0"/>
              <w:autoSpaceDN w:val="0"/>
              <w:adjustRightInd w:val="0"/>
              <w:snapToGrid w:val="0"/>
              <w:jc w:val="center"/>
              <w:rPr>
                <w:color w:val="auto"/>
                <w:kern w:val="0"/>
                <w:szCs w:val="21"/>
              </w:rPr>
            </w:pPr>
            <w:r>
              <w:rPr>
                <w:color w:val="auto"/>
                <w:kern w:val="0"/>
                <w:szCs w:val="21"/>
              </w:rPr>
              <w:t>专项评价设置情况</w:t>
            </w:r>
          </w:p>
        </w:tc>
        <w:tc>
          <w:tcPr>
            <w:tcW w:w="6901" w:type="dxa"/>
            <w:gridSpan w:val="3"/>
            <w:noWrap w:val="0"/>
            <w:vAlign w:val="center"/>
          </w:tcPr>
          <w:p>
            <w:pPr>
              <w:autoSpaceDE w:val="0"/>
              <w:autoSpaceDN w:val="0"/>
              <w:adjustRightInd w:val="0"/>
              <w:snapToGrid w:val="0"/>
              <w:spacing w:line="360" w:lineRule="auto"/>
              <w:ind w:firstLine="480" w:firstLineChars="200"/>
              <w:rPr>
                <w:color w:val="auto"/>
                <w:kern w:val="0"/>
                <w:sz w:val="24"/>
              </w:rPr>
            </w:pPr>
            <w:r>
              <w:rPr>
                <w:color w:val="auto"/>
                <w:kern w:val="0"/>
                <w:sz w:val="24"/>
              </w:rPr>
              <w:t>根据项目排污情况及所涉环境敏感程度，确定本项目专项评价的类别。大气、地表水、环境风险、生态和海洋专项评价具体设置原则见表1-1。</w:t>
            </w:r>
          </w:p>
          <w:p>
            <w:pPr>
              <w:autoSpaceDE w:val="0"/>
              <w:autoSpaceDN w:val="0"/>
              <w:adjustRightInd w:val="0"/>
              <w:snapToGrid w:val="0"/>
              <w:spacing w:line="360" w:lineRule="auto"/>
              <w:jc w:val="center"/>
              <w:rPr>
                <w:b/>
                <w:color w:val="auto"/>
                <w:kern w:val="0"/>
                <w:sz w:val="24"/>
              </w:rPr>
            </w:pPr>
            <w:r>
              <w:rPr>
                <w:b/>
                <w:color w:val="auto"/>
                <w:kern w:val="0"/>
                <w:sz w:val="24"/>
              </w:rPr>
              <w:t>表1-1  项目专项评价设置情况一栏表</w:t>
            </w:r>
          </w:p>
          <w:tbl>
            <w:tblPr>
              <w:tblStyle w:val="24"/>
              <w:tblW w:w="668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55"/>
              <w:gridCol w:w="2478"/>
              <w:gridCol w:w="2043"/>
              <w:gridCol w:w="11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c>
                <w:tcPr>
                  <w:tcW w:w="1055" w:type="dxa"/>
                  <w:noWrap w:val="0"/>
                  <w:vAlign w:val="center"/>
                </w:tcPr>
                <w:p>
                  <w:pPr>
                    <w:pStyle w:val="32"/>
                    <w:bidi w:val="0"/>
                    <w:rPr>
                      <w:color w:val="auto"/>
                    </w:rPr>
                  </w:pPr>
                  <w:r>
                    <w:rPr>
                      <w:color w:val="auto"/>
                    </w:rPr>
                    <w:t>专项评价的类别</w:t>
                  </w:r>
                </w:p>
              </w:tc>
              <w:tc>
                <w:tcPr>
                  <w:tcW w:w="2478" w:type="dxa"/>
                  <w:noWrap w:val="0"/>
                  <w:vAlign w:val="center"/>
                </w:tcPr>
                <w:p>
                  <w:pPr>
                    <w:pStyle w:val="32"/>
                    <w:bidi w:val="0"/>
                    <w:rPr>
                      <w:color w:val="auto"/>
                    </w:rPr>
                  </w:pPr>
                  <w:r>
                    <w:rPr>
                      <w:color w:val="auto"/>
                    </w:rPr>
                    <w:t>设置原则</w:t>
                  </w:r>
                </w:p>
              </w:tc>
              <w:tc>
                <w:tcPr>
                  <w:tcW w:w="2043" w:type="dxa"/>
                  <w:noWrap w:val="0"/>
                  <w:vAlign w:val="center"/>
                </w:tcPr>
                <w:p>
                  <w:pPr>
                    <w:pStyle w:val="32"/>
                    <w:bidi w:val="0"/>
                    <w:rPr>
                      <w:color w:val="auto"/>
                    </w:rPr>
                  </w:pPr>
                  <w:r>
                    <w:rPr>
                      <w:color w:val="auto"/>
                    </w:rPr>
                    <w:t>本项目情况</w:t>
                  </w:r>
                </w:p>
              </w:tc>
              <w:tc>
                <w:tcPr>
                  <w:tcW w:w="1109" w:type="dxa"/>
                  <w:noWrap w:val="0"/>
                  <w:vAlign w:val="center"/>
                </w:tcPr>
                <w:p>
                  <w:pPr>
                    <w:pStyle w:val="32"/>
                    <w:bidi w:val="0"/>
                    <w:rPr>
                      <w:color w:val="auto"/>
                    </w:rPr>
                  </w:pPr>
                  <w:r>
                    <w:rPr>
                      <w:color w:val="auto"/>
                    </w:rPr>
                    <w:t>是否设置专项评价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c>
                <w:tcPr>
                  <w:tcW w:w="1055" w:type="dxa"/>
                  <w:noWrap w:val="0"/>
                  <w:vAlign w:val="center"/>
                </w:tcPr>
                <w:p>
                  <w:pPr>
                    <w:pStyle w:val="32"/>
                    <w:bidi w:val="0"/>
                    <w:rPr>
                      <w:color w:val="auto"/>
                    </w:rPr>
                  </w:pPr>
                  <w:r>
                    <w:rPr>
                      <w:color w:val="auto"/>
                    </w:rPr>
                    <w:t>大气</w:t>
                  </w:r>
                </w:p>
              </w:tc>
              <w:tc>
                <w:tcPr>
                  <w:tcW w:w="2478" w:type="dxa"/>
                  <w:noWrap w:val="0"/>
                  <w:vAlign w:val="center"/>
                </w:tcPr>
                <w:p>
                  <w:pPr>
                    <w:pStyle w:val="32"/>
                    <w:bidi w:val="0"/>
                    <w:rPr>
                      <w:color w:val="auto"/>
                    </w:rPr>
                  </w:pPr>
                  <w:r>
                    <w:rPr>
                      <w:color w:val="auto"/>
                    </w:rPr>
                    <w:t>排放废气含有毒有害污染物1、二噁英、苯并[a]芘、氰化物、氯气且厂界外500米范围内有环境空气保护目标2的建设项目</w:t>
                  </w:r>
                </w:p>
              </w:tc>
              <w:tc>
                <w:tcPr>
                  <w:tcW w:w="2043" w:type="dxa"/>
                  <w:noWrap w:val="0"/>
                  <w:vAlign w:val="center"/>
                </w:tcPr>
                <w:p>
                  <w:pPr>
                    <w:pStyle w:val="32"/>
                    <w:bidi w:val="0"/>
                    <w:rPr>
                      <w:rFonts w:hint="default"/>
                      <w:color w:val="auto"/>
                      <w:lang w:val="en-US" w:eastAsia="zh-CN"/>
                    </w:rPr>
                  </w:pPr>
                  <w:r>
                    <w:rPr>
                      <w:rFonts w:hint="eastAsia"/>
                      <w:color w:val="auto"/>
                      <w:lang w:val="en-US" w:eastAsia="zh-CN"/>
                    </w:rPr>
                    <w:t>项目排放的大气污染物为无组织NH</w:t>
                  </w:r>
                  <w:r>
                    <w:rPr>
                      <w:rFonts w:hint="eastAsia"/>
                      <w:color w:val="auto"/>
                      <w:vertAlign w:val="subscript"/>
                      <w:lang w:val="en-US" w:eastAsia="zh-CN"/>
                    </w:rPr>
                    <w:t>3</w:t>
                  </w: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S，有组织废气为颗粒物、氮氧化物、二氧化硫，不涉及有毒有害气体排放</w:t>
                  </w:r>
                </w:p>
              </w:tc>
              <w:tc>
                <w:tcPr>
                  <w:tcW w:w="1109" w:type="dxa"/>
                  <w:noWrap w:val="0"/>
                  <w:vAlign w:val="center"/>
                </w:tcPr>
                <w:p>
                  <w:pPr>
                    <w:pStyle w:val="32"/>
                    <w:bidi w:val="0"/>
                    <w:rPr>
                      <w:rFonts w:hint="eastAsia" w:eastAsia="宋体"/>
                      <w:color w:val="auto"/>
                      <w:lang w:eastAsia="zh-CN"/>
                    </w:rPr>
                  </w:pPr>
                  <w:r>
                    <w:rPr>
                      <w:rFonts w:hint="eastAsia"/>
                      <w:color w:val="auto"/>
                      <w:lang w:val="en-US" w:eastAsia="zh-CN"/>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c>
                <w:tcPr>
                  <w:tcW w:w="1055" w:type="dxa"/>
                  <w:noWrap w:val="0"/>
                  <w:vAlign w:val="center"/>
                </w:tcPr>
                <w:p>
                  <w:pPr>
                    <w:pStyle w:val="32"/>
                    <w:bidi w:val="0"/>
                    <w:rPr>
                      <w:color w:val="auto"/>
                    </w:rPr>
                  </w:pPr>
                  <w:r>
                    <w:rPr>
                      <w:color w:val="auto"/>
                    </w:rPr>
                    <w:t>地表水</w:t>
                  </w:r>
                </w:p>
              </w:tc>
              <w:tc>
                <w:tcPr>
                  <w:tcW w:w="2478" w:type="dxa"/>
                  <w:noWrap w:val="0"/>
                  <w:vAlign w:val="center"/>
                </w:tcPr>
                <w:p>
                  <w:pPr>
                    <w:pStyle w:val="32"/>
                    <w:bidi w:val="0"/>
                    <w:rPr>
                      <w:color w:val="auto"/>
                    </w:rPr>
                  </w:pPr>
                  <w:r>
                    <w:rPr>
                      <w:color w:val="auto"/>
                    </w:rPr>
                    <w:t>新增工业废水直排建设项目（槽罐车外送污水处理厂的除外）；</w:t>
                  </w:r>
                </w:p>
                <w:p>
                  <w:pPr>
                    <w:pStyle w:val="32"/>
                    <w:bidi w:val="0"/>
                    <w:rPr>
                      <w:color w:val="auto"/>
                    </w:rPr>
                  </w:pPr>
                  <w:r>
                    <w:rPr>
                      <w:color w:val="auto"/>
                    </w:rPr>
                    <w:t>新增废水直排的污水集中处理厂</w:t>
                  </w:r>
                </w:p>
              </w:tc>
              <w:tc>
                <w:tcPr>
                  <w:tcW w:w="2043" w:type="dxa"/>
                  <w:noWrap w:val="0"/>
                  <w:vAlign w:val="center"/>
                </w:tcPr>
                <w:p>
                  <w:pPr>
                    <w:pStyle w:val="32"/>
                    <w:bidi w:val="0"/>
                    <w:rPr>
                      <w:rFonts w:hint="default"/>
                      <w:color w:val="auto"/>
                      <w:lang w:val="en-US" w:eastAsia="zh-CN"/>
                    </w:rPr>
                  </w:pPr>
                  <w:r>
                    <w:rPr>
                      <w:color w:val="auto"/>
                    </w:rPr>
                    <w:t>本项目生产废水</w:t>
                  </w:r>
                  <w:r>
                    <w:rPr>
                      <w:rFonts w:hint="eastAsia"/>
                      <w:color w:val="auto"/>
                    </w:rPr>
                    <w:t>经</w:t>
                  </w:r>
                  <w:r>
                    <w:rPr>
                      <w:rFonts w:hint="eastAsia"/>
                      <w:color w:val="auto"/>
                      <w:lang w:val="en-US" w:eastAsia="zh-CN"/>
                    </w:rPr>
                    <w:t>地埋一体式污水处理设备处理后排入园区污水管网，生活污水经化粪池处理后排入园区污水管网；纯水制备浓水和锅炉排污水经降温沉淀池处理后排入园区雨水管网</w:t>
                  </w:r>
                </w:p>
              </w:tc>
              <w:tc>
                <w:tcPr>
                  <w:tcW w:w="1109" w:type="dxa"/>
                  <w:noWrap w:val="0"/>
                  <w:vAlign w:val="center"/>
                </w:tcPr>
                <w:p>
                  <w:pPr>
                    <w:pStyle w:val="32"/>
                    <w:bidi w:val="0"/>
                    <w:rPr>
                      <w:color w:val="auto"/>
                    </w:rPr>
                  </w:pPr>
                  <w:r>
                    <w:rPr>
                      <w:color w:val="auto"/>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c>
                <w:tcPr>
                  <w:tcW w:w="1055" w:type="dxa"/>
                  <w:noWrap w:val="0"/>
                  <w:vAlign w:val="center"/>
                </w:tcPr>
                <w:p>
                  <w:pPr>
                    <w:pStyle w:val="32"/>
                    <w:bidi w:val="0"/>
                    <w:rPr>
                      <w:color w:val="auto"/>
                    </w:rPr>
                  </w:pPr>
                  <w:r>
                    <w:rPr>
                      <w:color w:val="auto"/>
                    </w:rPr>
                    <w:t>环境风险</w:t>
                  </w:r>
                </w:p>
              </w:tc>
              <w:tc>
                <w:tcPr>
                  <w:tcW w:w="2478" w:type="dxa"/>
                  <w:noWrap w:val="0"/>
                  <w:vAlign w:val="center"/>
                </w:tcPr>
                <w:p>
                  <w:pPr>
                    <w:pStyle w:val="32"/>
                    <w:bidi w:val="0"/>
                    <w:rPr>
                      <w:color w:val="auto"/>
                    </w:rPr>
                  </w:pPr>
                  <w:r>
                    <w:rPr>
                      <w:color w:val="auto"/>
                    </w:rPr>
                    <w:t>有毒有害和易燃易爆危险物质存储量超过临界量3的建设项目</w:t>
                  </w:r>
                </w:p>
              </w:tc>
              <w:tc>
                <w:tcPr>
                  <w:tcW w:w="2043" w:type="dxa"/>
                  <w:noWrap w:val="0"/>
                  <w:vAlign w:val="center"/>
                </w:tcPr>
                <w:p>
                  <w:pPr>
                    <w:pStyle w:val="32"/>
                    <w:bidi w:val="0"/>
                    <w:rPr>
                      <w:color w:val="auto"/>
                    </w:rPr>
                  </w:pPr>
                  <w:r>
                    <w:rPr>
                      <w:rFonts w:hint="eastAsia" w:ascii="Times New Roman"/>
                      <w:color w:val="auto"/>
                      <w:lang w:val="en-US" w:eastAsia="zh-CN"/>
                    </w:rPr>
                    <w:t>项目</w:t>
                  </w:r>
                  <w:r>
                    <w:rPr>
                      <w:rFonts w:hint="eastAsia"/>
                      <w:color w:val="auto"/>
                      <w:lang w:val="en-US" w:eastAsia="zh-CN"/>
                    </w:rPr>
                    <w:t>风险物质为</w:t>
                  </w:r>
                  <w:r>
                    <w:rPr>
                      <w:rFonts w:hint="eastAsia" w:ascii="Times New Roman"/>
                      <w:color w:val="auto"/>
                      <w:lang w:val="en-US" w:eastAsia="zh-CN"/>
                    </w:rPr>
                    <w:t>少量乙醇（</w:t>
                  </w:r>
                  <w:r>
                    <w:rPr>
                      <w:rFonts w:hint="eastAsia"/>
                      <w:color w:val="auto"/>
                      <w:lang w:val="en-US" w:eastAsia="zh-CN"/>
                    </w:rPr>
                    <w:t>消毒</w:t>
                  </w:r>
                  <w:r>
                    <w:rPr>
                      <w:rFonts w:hint="eastAsia" w:ascii="Times New Roman" w:eastAsia="宋体"/>
                      <w:color w:val="auto"/>
                      <w:lang w:val="en-US" w:eastAsia="zh-CN"/>
                    </w:rPr>
                    <w:t>酒精</w:t>
                  </w:r>
                  <w:r>
                    <w:rPr>
                      <w:rFonts w:hint="eastAsia" w:ascii="Times New Roman"/>
                      <w:color w:val="auto"/>
                      <w:lang w:val="en-US" w:eastAsia="zh-CN"/>
                    </w:rPr>
                    <w:t>）以及</w:t>
                  </w:r>
                  <w:r>
                    <w:rPr>
                      <w:rFonts w:hint="eastAsia"/>
                      <w:color w:val="auto"/>
                      <w:lang w:val="en-US" w:eastAsia="zh-CN"/>
                    </w:rPr>
                    <w:t>管道内少量天然气</w:t>
                  </w:r>
                  <w:r>
                    <w:rPr>
                      <w:color w:val="auto"/>
                    </w:rPr>
                    <w:t>，储存量不超过临界量。</w:t>
                  </w:r>
                </w:p>
              </w:tc>
              <w:tc>
                <w:tcPr>
                  <w:tcW w:w="1109" w:type="dxa"/>
                  <w:noWrap w:val="0"/>
                  <w:vAlign w:val="center"/>
                </w:tcPr>
                <w:p>
                  <w:pPr>
                    <w:pStyle w:val="32"/>
                    <w:bidi w:val="0"/>
                    <w:rPr>
                      <w:color w:val="auto"/>
                    </w:rPr>
                  </w:pPr>
                  <w:r>
                    <w:rPr>
                      <w:color w:val="auto"/>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c>
                <w:tcPr>
                  <w:tcW w:w="1055" w:type="dxa"/>
                  <w:noWrap w:val="0"/>
                  <w:vAlign w:val="center"/>
                </w:tcPr>
                <w:p>
                  <w:pPr>
                    <w:pStyle w:val="32"/>
                    <w:bidi w:val="0"/>
                    <w:rPr>
                      <w:color w:val="auto"/>
                    </w:rPr>
                  </w:pPr>
                  <w:r>
                    <w:rPr>
                      <w:color w:val="auto"/>
                    </w:rPr>
                    <w:t>生态</w:t>
                  </w:r>
                </w:p>
              </w:tc>
              <w:tc>
                <w:tcPr>
                  <w:tcW w:w="2478" w:type="dxa"/>
                  <w:noWrap w:val="0"/>
                  <w:vAlign w:val="center"/>
                </w:tcPr>
                <w:p>
                  <w:pPr>
                    <w:pStyle w:val="32"/>
                    <w:bidi w:val="0"/>
                    <w:rPr>
                      <w:color w:val="auto"/>
                    </w:rPr>
                  </w:pPr>
                  <w:r>
                    <w:rPr>
                      <w:color w:val="auto"/>
                    </w:rPr>
                    <w:t>取水口下游500米范围内有重要水生生物的自然产卵场、索饵场、越冬场和洄游通道的新增河道取水的污染类建设项目</w:t>
                  </w:r>
                </w:p>
              </w:tc>
              <w:tc>
                <w:tcPr>
                  <w:tcW w:w="2043" w:type="dxa"/>
                  <w:noWrap w:val="0"/>
                  <w:vAlign w:val="center"/>
                </w:tcPr>
                <w:p>
                  <w:pPr>
                    <w:pStyle w:val="32"/>
                    <w:bidi w:val="0"/>
                    <w:rPr>
                      <w:color w:val="auto"/>
                    </w:rPr>
                  </w:pPr>
                  <w:r>
                    <w:rPr>
                      <w:color w:val="auto"/>
                    </w:rPr>
                    <w:t>不涉及</w:t>
                  </w:r>
                </w:p>
              </w:tc>
              <w:tc>
                <w:tcPr>
                  <w:tcW w:w="1109" w:type="dxa"/>
                  <w:noWrap w:val="0"/>
                  <w:vAlign w:val="center"/>
                </w:tcPr>
                <w:p>
                  <w:pPr>
                    <w:pStyle w:val="32"/>
                    <w:bidi w:val="0"/>
                    <w:rPr>
                      <w:color w:val="auto"/>
                    </w:rPr>
                  </w:pPr>
                  <w:r>
                    <w:rPr>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c>
                <w:tcPr>
                  <w:tcW w:w="1055" w:type="dxa"/>
                  <w:noWrap w:val="0"/>
                  <w:vAlign w:val="center"/>
                </w:tcPr>
                <w:p>
                  <w:pPr>
                    <w:pStyle w:val="32"/>
                    <w:bidi w:val="0"/>
                    <w:rPr>
                      <w:color w:val="auto"/>
                    </w:rPr>
                  </w:pPr>
                  <w:r>
                    <w:rPr>
                      <w:color w:val="auto"/>
                    </w:rPr>
                    <w:t>海洋</w:t>
                  </w:r>
                </w:p>
              </w:tc>
              <w:tc>
                <w:tcPr>
                  <w:tcW w:w="2478" w:type="dxa"/>
                  <w:noWrap w:val="0"/>
                  <w:vAlign w:val="center"/>
                </w:tcPr>
                <w:p>
                  <w:pPr>
                    <w:pStyle w:val="32"/>
                    <w:bidi w:val="0"/>
                    <w:rPr>
                      <w:color w:val="auto"/>
                    </w:rPr>
                  </w:pPr>
                  <w:r>
                    <w:rPr>
                      <w:color w:val="auto"/>
                    </w:rPr>
                    <w:t>直接向海排放污染物的海洋工程建设项目</w:t>
                  </w:r>
                </w:p>
              </w:tc>
              <w:tc>
                <w:tcPr>
                  <w:tcW w:w="2043" w:type="dxa"/>
                  <w:noWrap w:val="0"/>
                  <w:vAlign w:val="center"/>
                </w:tcPr>
                <w:p>
                  <w:pPr>
                    <w:pStyle w:val="32"/>
                    <w:bidi w:val="0"/>
                    <w:rPr>
                      <w:color w:val="auto"/>
                    </w:rPr>
                  </w:pPr>
                  <w:r>
                    <w:rPr>
                      <w:color w:val="auto"/>
                    </w:rPr>
                    <w:t>不涉及</w:t>
                  </w:r>
                </w:p>
              </w:tc>
              <w:tc>
                <w:tcPr>
                  <w:tcW w:w="1109" w:type="dxa"/>
                  <w:noWrap w:val="0"/>
                  <w:vAlign w:val="center"/>
                </w:tcPr>
                <w:p>
                  <w:pPr>
                    <w:pStyle w:val="32"/>
                    <w:bidi w:val="0"/>
                    <w:rPr>
                      <w:color w:val="auto"/>
                    </w:rPr>
                  </w:pPr>
                  <w:r>
                    <w:rPr>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c>
                <w:tcPr>
                  <w:tcW w:w="6685" w:type="dxa"/>
                  <w:gridSpan w:val="4"/>
                  <w:noWrap w:val="0"/>
                  <w:vAlign w:val="center"/>
                </w:tcPr>
                <w:p>
                  <w:pPr>
                    <w:pStyle w:val="32"/>
                    <w:bidi w:val="0"/>
                    <w:jc w:val="left"/>
                    <w:rPr>
                      <w:color w:val="auto"/>
                    </w:rPr>
                  </w:pPr>
                  <w:r>
                    <w:rPr>
                      <w:color w:val="auto"/>
                    </w:rPr>
                    <w:t>注：1.废气中有毒有害污染物指纳入《有毒有害大气污染物名录》的污染物（不包括无排放标准的污染物）。</w:t>
                  </w:r>
                </w:p>
                <w:p>
                  <w:pPr>
                    <w:pStyle w:val="32"/>
                    <w:bidi w:val="0"/>
                    <w:jc w:val="left"/>
                    <w:rPr>
                      <w:color w:val="auto"/>
                    </w:rPr>
                  </w:pPr>
                  <w:r>
                    <w:rPr>
                      <w:color w:val="auto"/>
                    </w:rPr>
                    <w:t>2.环境空气保护目标指自然保护区、风景名胜区、居住区、文化区和农村地区中人群较集中的区域。</w:t>
                  </w:r>
                </w:p>
                <w:p>
                  <w:pPr>
                    <w:pStyle w:val="32"/>
                    <w:bidi w:val="0"/>
                    <w:jc w:val="left"/>
                    <w:rPr>
                      <w:color w:val="auto"/>
                    </w:rPr>
                  </w:pPr>
                  <w:r>
                    <w:rPr>
                      <w:color w:val="auto"/>
                    </w:rPr>
                    <w:t>3.临界量及其计算方法可参考《建设项目环境风险评价技术导则》（HJ169）附录B、附录C。</w:t>
                  </w:r>
                </w:p>
              </w:tc>
            </w:tr>
          </w:tbl>
          <w:p>
            <w:pPr>
              <w:autoSpaceDE w:val="0"/>
              <w:autoSpaceDN w:val="0"/>
              <w:adjustRightInd w:val="0"/>
              <w:snapToGrid w:val="0"/>
              <w:jc w:val="center"/>
              <w:rPr>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969" w:type="dxa"/>
            <w:noWrap w:val="0"/>
            <w:vAlign w:val="center"/>
          </w:tcPr>
          <w:p>
            <w:pPr>
              <w:autoSpaceDE w:val="0"/>
              <w:autoSpaceDN w:val="0"/>
              <w:adjustRightInd w:val="0"/>
              <w:snapToGrid w:val="0"/>
              <w:jc w:val="center"/>
              <w:rPr>
                <w:color w:val="auto"/>
                <w:kern w:val="0"/>
                <w:szCs w:val="21"/>
              </w:rPr>
            </w:pPr>
            <w:r>
              <w:rPr>
                <w:color w:val="auto"/>
                <w:szCs w:val="21"/>
              </w:rPr>
              <w:t>规划情况</w:t>
            </w:r>
          </w:p>
        </w:tc>
        <w:tc>
          <w:tcPr>
            <w:tcW w:w="6901" w:type="dxa"/>
            <w:gridSpan w:val="3"/>
            <w:noWrap w:val="0"/>
            <w:vAlign w:val="center"/>
          </w:tcPr>
          <w:p>
            <w:pPr>
              <w:spacing w:line="360" w:lineRule="auto"/>
              <w:jc w:val="left"/>
              <w:rPr>
                <w:color w:val="auto"/>
                <w:kern w:val="0"/>
                <w:szCs w:val="21"/>
              </w:rPr>
            </w:pPr>
            <w:r>
              <w:rPr>
                <w:rFonts w:hint="eastAsia" w:ascii="Times New Roman" w:eastAsia="宋体"/>
                <w:color w:val="auto"/>
                <w:sz w:val="24"/>
                <w:szCs w:val="24"/>
                <w:highlight w:val="none"/>
                <w:lang w:val="en-US" w:eastAsia="zh-CN"/>
              </w:rPr>
              <w:t>已审批的</w:t>
            </w:r>
            <w:r>
              <w:rPr>
                <w:rFonts w:ascii="宋体" w:hAnsi="宋体" w:eastAsia="宋体" w:cs="宋体"/>
                <w:color w:val="auto"/>
                <w:spacing w:val="-2"/>
                <w:sz w:val="24"/>
                <w:szCs w:val="24"/>
              </w:rPr>
              <w:t>《和政循环经济产业园发展规划(</w:t>
            </w:r>
            <w:r>
              <w:rPr>
                <w:rFonts w:ascii="Times New Roman" w:hAnsi="Times New Roman" w:eastAsia="Times New Roman" w:cs="Times New Roman"/>
                <w:color w:val="auto"/>
                <w:spacing w:val="-2"/>
                <w:sz w:val="24"/>
                <w:szCs w:val="24"/>
              </w:rPr>
              <w:t>200</w:t>
            </w:r>
            <w:r>
              <w:rPr>
                <w:rFonts w:ascii="Times New Roman" w:hAnsi="Times New Roman" w:eastAsia="Times New Roman" w:cs="Times New Roman"/>
                <w:color w:val="auto"/>
                <w:spacing w:val="-1"/>
                <w:sz w:val="24"/>
                <w:szCs w:val="24"/>
              </w:rPr>
              <w:t>9-2020</w:t>
            </w:r>
            <w:r>
              <w:rPr>
                <w:rFonts w:ascii="宋体" w:hAnsi="宋体" w:eastAsia="宋体" w:cs="宋体"/>
                <w:color w:val="auto"/>
                <w:spacing w:val="-1"/>
                <w:sz w:val="24"/>
                <w:szCs w:val="24"/>
              </w:rPr>
              <w:t>年)》</w:t>
            </w:r>
            <w:r>
              <w:rPr>
                <w:rFonts w:hint="eastAsia" w:ascii="宋体" w:hAnsi="宋体" w:eastAsia="宋体" w:cs="宋体"/>
                <w:color w:val="auto"/>
                <w:spacing w:val="-1"/>
                <w:sz w:val="24"/>
                <w:szCs w:val="24"/>
                <w:lang w:eastAsia="zh-CN"/>
              </w:rPr>
              <w:t>（</w:t>
            </w:r>
            <w:r>
              <w:rPr>
                <w:color w:val="auto"/>
                <w:sz w:val="24"/>
              </w:rPr>
              <w:t>兰州大学城市规划设计研究院</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lang w:val="en-US" w:eastAsia="zh-CN"/>
              </w:rPr>
              <w:t>已过期，目前正在修订</w:t>
            </w:r>
            <w:r>
              <w:rPr>
                <w:rFonts w:hint="default"/>
                <w:color w:val="auto"/>
                <w:sz w:val="24"/>
                <w:szCs w:val="24"/>
                <w:highlight w:val="none"/>
                <w:lang w:val="en-US" w:eastAsia="zh-CN"/>
              </w:rPr>
              <w:t>《和政县循环经济产业园区总体规划</w:t>
            </w:r>
            <w:r>
              <w:rPr>
                <w:rFonts w:hint="eastAsia" w:ascii="Times New Roman" w:eastAsia="宋体"/>
                <w:color w:val="auto"/>
                <w:sz w:val="24"/>
                <w:szCs w:val="24"/>
                <w:highlight w:val="none"/>
                <w:lang w:val="en-US" w:eastAsia="zh-CN"/>
              </w:rPr>
              <w:t>（</w:t>
            </w:r>
            <w:r>
              <w:rPr>
                <w:rFonts w:hint="default"/>
                <w:color w:val="auto"/>
                <w:sz w:val="24"/>
                <w:szCs w:val="24"/>
                <w:highlight w:val="none"/>
                <w:lang w:val="en-US" w:eastAsia="zh-CN"/>
              </w:rPr>
              <w:t>20</w:t>
            </w:r>
            <w:r>
              <w:rPr>
                <w:rFonts w:hint="eastAsia" w:ascii="Times New Roman" w:eastAsia="宋体"/>
                <w:color w:val="auto"/>
                <w:sz w:val="24"/>
                <w:szCs w:val="24"/>
                <w:highlight w:val="none"/>
                <w:lang w:val="en-US" w:eastAsia="zh-CN"/>
              </w:rPr>
              <w:t>22</w:t>
            </w:r>
            <w:r>
              <w:rPr>
                <w:rFonts w:hint="default"/>
                <w:color w:val="auto"/>
                <w:sz w:val="24"/>
                <w:szCs w:val="24"/>
                <w:highlight w:val="none"/>
                <w:lang w:val="en-US" w:eastAsia="zh-CN"/>
              </w:rPr>
              <w:t>-20</w:t>
            </w:r>
            <w:r>
              <w:rPr>
                <w:rFonts w:hint="eastAsia" w:ascii="Times New Roman" w:eastAsia="宋体"/>
                <w:color w:val="auto"/>
                <w:sz w:val="24"/>
                <w:szCs w:val="24"/>
                <w:highlight w:val="none"/>
                <w:lang w:val="en-US" w:eastAsia="zh-CN"/>
              </w:rPr>
              <w:t>35）</w:t>
            </w:r>
            <w:r>
              <w:rPr>
                <w:rFonts w:hint="default"/>
                <w:color w:val="auto"/>
                <w:sz w:val="24"/>
                <w:szCs w:val="24"/>
                <w:highlight w:val="none"/>
                <w:lang w:val="en-US" w:eastAsia="zh-CN"/>
              </w:rPr>
              <w:t>》</w:t>
            </w:r>
            <w:r>
              <w:rPr>
                <w:rFonts w:hint="eastAsia" w:ascii="Times New Roman" w:eastAsia="宋体"/>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969" w:type="dxa"/>
            <w:noWrap w:val="0"/>
            <w:vAlign w:val="center"/>
          </w:tcPr>
          <w:p>
            <w:pPr>
              <w:adjustRightInd w:val="0"/>
              <w:snapToGrid w:val="0"/>
              <w:jc w:val="center"/>
              <w:rPr>
                <w:rFonts w:ascii="宋体" w:hAnsi="宋体" w:cs="宋体"/>
                <w:color w:val="auto"/>
                <w:szCs w:val="21"/>
              </w:rPr>
            </w:pPr>
            <w:r>
              <w:rPr>
                <w:rFonts w:hint="eastAsia" w:ascii="宋体" w:hAnsi="宋体" w:cs="宋体"/>
                <w:color w:val="auto"/>
                <w:szCs w:val="21"/>
              </w:rPr>
              <w:t>规划环境影响</w:t>
            </w:r>
          </w:p>
          <w:p>
            <w:pPr>
              <w:adjustRightInd w:val="0"/>
              <w:snapToGrid w:val="0"/>
              <w:jc w:val="center"/>
              <w:rPr>
                <w:rFonts w:hint="eastAsia" w:ascii="宋体" w:hAnsi="宋体" w:cs="宋体"/>
                <w:color w:val="auto"/>
                <w:kern w:val="0"/>
                <w:szCs w:val="21"/>
              </w:rPr>
            </w:pPr>
            <w:r>
              <w:rPr>
                <w:rFonts w:hint="eastAsia" w:ascii="宋体" w:hAnsi="宋体" w:cs="宋体"/>
                <w:color w:val="auto"/>
                <w:szCs w:val="21"/>
              </w:rPr>
              <w:t>评价情况</w:t>
            </w:r>
          </w:p>
        </w:tc>
        <w:tc>
          <w:tcPr>
            <w:tcW w:w="6901" w:type="dxa"/>
            <w:gridSpan w:val="3"/>
            <w:noWrap w:val="0"/>
            <w:vAlign w:val="center"/>
          </w:tcPr>
          <w:p>
            <w:pPr>
              <w:pStyle w:val="5"/>
              <w:rPr>
                <w:rFonts w:hint="eastAsia"/>
                <w:color w:val="auto"/>
                <w:lang w:eastAsia="zh-CN"/>
              </w:rPr>
            </w:pPr>
            <w:r>
              <w:rPr>
                <w:rFonts w:hint="default"/>
                <w:b w:val="0"/>
                <w:bCs/>
                <w:color w:val="auto"/>
                <w:sz w:val="24"/>
                <w:szCs w:val="24"/>
                <w:highlight w:val="none"/>
                <w:lang w:val="en-US" w:eastAsia="zh-CN"/>
              </w:rPr>
              <w:t>《和政县循环经济产业园区总体规划</w:t>
            </w:r>
            <w:r>
              <w:rPr>
                <w:rFonts w:hint="eastAsia" w:ascii="Times New Roman" w:eastAsia="宋体"/>
                <w:b w:val="0"/>
                <w:bCs/>
                <w:color w:val="auto"/>
                <w:sz w:val="24"/>
                <w:szCs w:val="24"/>
                <w:highlight w:val="none"/>
                <w:lang w:val="en-US" w:eastAsia="zh-CN"/>
              </w:rPr>
              <w:t>（</w:t>
            </w:r>
            <w:r>
              <w:rPr>
                <w:rFonts w:hint="default"/>
                <w:b w:val="0"/>
                <w:bCs/>
                <w:color w:val="auto"/>
                <w:sz w:val="24"/>
                <w:szCs w:val="24"/>
                <w:highlight w:val="none"/>
                <w:lang w:val="en-US" w:eastAsia="zh-CN"/>
              </w:rPr>
              <w:t>20</w:t>
            </w:r>
            <w:r>
              <w:rPr>
                <w:rFonts w:hint="eastAsia" w:ascii="Times New Roman" w:eastAsia="宋体"/>
                <w:b w:val="0"/>
                <w:bCs/>
                <w:color w:val="auto"/>
                <w:sz w:val="24"/>
                <w:szCs w:val="24"/>
                <w:highlight w:val="none"/>
                <w:lang w:val="en-US" w:eastAsia="zh-CN"/>
              </w:rPr>
              <w:t>22</w:t>
            </w:r>
            <w:r>
              <w:rPr>
                <w:rFonts w:hint="default"/>
                <w:b w:val="0"/>
                <w:bCs/>
                <w:color w:val="auto"/>
                <w:sz w:val="24"/>
                <w:szCs w:val="24"/>
                <w:highlight w:val="none"/>
                <w:lang w:val="en-US" w:eastAsia="zh-CN"/>
              </w:rPr>
              <w:t>-20</w:t>
            </w:r>
            <w:r>
              <w:rPr>
                <w:rFonts w:hint="eastAsia" w:ascii="Times New Roman" w:eastAsia="宋体"/>
                <w:b w:val="0"/>
                <w:bCs/>
                <w:color w:val="auto"/>
                <w:sz w:val="24"/>
                <w:szCs w:val="24"/>
                <w:highlight w:val="none"/>
                <w:lang w:val="en-US" w:eastAsia="zh-CN"/>
              </w:rPr>
              <w:t>35）</w:t>
            </w:r>
            <w:r>
              <w:rPr>
                <w:rFonts w:hint="eastAsia" w:ascii="宋体" w:hAnsi="宋体" w:cs="宋体"/>
                <w:b w:val="0"/>
                <w:bCs/>
                <w:color w:val="auto"/>
                <w:spacing w:val="-1"/>
                <w:sz w:val="24"/>
                <w:szCs w:val="24"/>
                <w:lang w:val="en-US" w:eastAsia="zh-CN"/>
              </w:rPr>
              <w:t>环境</w:t>
            </w:r>
            <w:r>
              <w:rPr>
                <w:rFonts w:ascii="宋体" w:hAnsi="宋体" w:eastAsia="宋体" w:cs="宋体"/>
                <w:b w:val="0"/>
                <w:bCs/>
                <w:color w:val="auto"/>
                <w:spacing w:val="7"/>
                <w:sz w:val="24"/>
                <w:szCs w:val="24"/>
              </w:rPr>
              <w:t>环境影响报告书</w:t>
            </w:r>
            <w:r>
              <w:rPr>
                <w:rFonts w:hint="default"/>
                <w:b w:val="0"/>
                <w:bCs/>
                <w:color w:val="auto"/>
                <w:sz w:val="24"/>
                <w:szCs w:val="24"/>
                <w:highlight w:val="none"/>
                <w:lang w:val="en-US" w:eastAsia="zh-CN"/>
              </w:rPr>
              <w:t>》</w:t>
            </w:r>
            <w:r>
              <w:rPr>
                <w:rFonts w:hint="eastAsia" w:ascii="Times New Roman" w:eastAsia="宋体"/>
                <w:b w:val="0"/>
                <w:bCs/>
                <w:color w:val="auto"/>
                <w:sz w:val="24"/>
                <w:szCs w:val="24"/>
                <w:highlight w:val="none"/>
                <w:lang w:val="en-US" w:eastAsia="zh-CN"/>
              </w:rPr>
              <w:t>正在编制中。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69" w:type="dxa"/>
            <w:noWrap w:val="0"/>
            <w:vAlign w:val="center"/>
          </w:tcPr>
          <w:p>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规划及规划环境</w:t>
            </w:r>
          </w:p>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影响评价符合性分析</w:t>
            </w:r>
          </w:p>
        </w:tc>
        <w:tc>
          <w:tcPr>
            <w:tcW w:w="6901" w:type="dxa"/>
            <w:gridSpan w:val="3"/>
            <w:noWrap w:val="0"/>
            <w:vAlign w:val="center"/>
          </w:tcPr>
          <w:p>
            <w:pPr>
              <w:pStyle w:val="20"/>
              <w:spacing w:line="360" w:lineRule="auto"/>
              <w:ind w:left="0" w:leftChars="0" w:firstLine="476" w:firstLineChars="200"/>
              <w:jc w:val="both"/>
              <w:rPr>
                <w:rFonts w:hint="default" w:ascii="Times New Roman" w:hAnsi="Times New Roman" w:eastAsia="宋体" w:cs="Times New Roman"/>
                <w:b w:val="0"/>
                <w:bCs w:val="0"/>
                <w:color w:val="auto"/>
                <w:spacing w:val="-1"/>
                <w:sz w:val="24"/>
                <w:szCs w:val="24"/>
                <w:highlight w:val="none"/>
                <w:lang w:val="en-US" w:eastAsia="zh-CN" w:bidi="ar-SA"/>
              </w:rPr>
            </w:pPr>
            <w:r>
              <w:rPr>
                <w:rFonts w:hint="default" w:ascii="Times New Roman" w:hAnsi="Times New Roman" w:eastAsia="宋体" w:cs="Times New Roman"/>
                <w:b w:val="0"/>
                <w:bCs w:val="0"/>
                <w:color w:val="auto"/>
                <w:spacing w:val="-1"/>
                <w:sz w:val="24"/>
                <w:szCs w:val="24"/>
                <w:highlight w:val="none"/>
                <w:lang w:val="en-US" w:eastAsia="zh-CN" w:bidi="ar-SA"/>
              </w:rPr>
              <w:t>1、项目与</w:t>
            </w:r>
            <w:r>
              <w:rPr>
                <w:rFonts w:hint="eastAsia" w:cs="Times New Roman"/>
                <w:b w:val="0"/>
                <w:bCs w:val="0"/>
                <w:color w:val="auto"/>
                <w:spacing w:val="-1"/>
                <w:sz w:val="24"/>
                <w:szCs w:val="24"/>
                <w:highlight w:val="none"/>
                <w:lang w:val="en-US" w:eastAsia="zh-CN" w:bidi="ar-SA"/>
              </w:rPr>
              <w:t>园区</w:t>
            </w:r>
            <w:r>
              <w:rPr>
                <w:rFonts w:hint="default" w:ascii="Times New Roman" w:hAnsi="Times New Roman" w:eastAsia="宋体" w:cs="Times New Roman"/>
                <w:b w:val="0"/>
                <w:bCs w:val="0"/>
                <w:color w:val="auto"/>
                <w:spacing w:val="-1"/>
                <w:sz w:val="24"/>
                <w:szCs w:val="24"/>
                <w:highlight w:val="none"/>
                <w:lang w:val="en-US" w:eastAsia="zh-CN" w:bidi="ar-SA"/>
              </w:rPr>
              <w:t>规划符合性分析如下：</w:t>
            </w:r>
          </w:p>
          <w:p>
            <w:pPr>
              <w:spacing w:line="360" w:lineRule="auto"/>
              <w:ind w:firstLine="480"/>
              <w:jc w:val="both"/>
              <w:rPr>
                <w:rFonts w:hint="default"/>
                <w:color w:val="auto"/>
                <w:sz w:val="24"/>
                <w:szCs w:val="24"/>
                <w:highlight w:val="none"/>
                <w:lang w:val="en-US" w:eastAsia="zh-CN"/>
              </w:rPr>
            </w:pPr>
            <w:r>
              <w:rPr>
                <w:rFonts w:hint="eastAsia"/>
                <w:color w:val="auto"/>
                <w:sz w:val="24"/>
                <w:szCs w:val="24"/>
                <w:highlight w:val="none"/>
                <w:lang w:val="en-US" w:eastAsia="zh-CN"/>
              </w:rPr>
              <w:t>（1）产业规划符合性</w:t>
            </w:r>
          </w:p>
          <w:p>
            <w:pPr>
              <w:spacing w:line="360" w:lineRule="auto"/>
              <w:ind w:firstLine="480"/>
              <w:jc w:val="both"/>
              <w:rPr>
                <w:rFonts w:hint="default"/>
                <w:color w:val="auto"/>
                <w:sz w:val="24"/>
                <w:szCs w:val="24"/>
                <w:highlight w:val="none"/>
                <w:lang w:val="en-US" w:eastAsia="zh-CN"/>
              </w:rPr>
            </w:pPr>
            <w:r>
              <w:rPr>
                <w:rFonts w:hint="eastAsia"/>
                <w:color w:val="auto"/>
                <w:sz w:val="24"/>
                <w:szCs w:val="24"/>
                <w:highlight w:val="none"/>
                <w:lang w:val="en-US" w:eastAsia="zh-CN"/>
              </w:rPr>
              <w:t>因</w:t>
            </w:r>
            <w:r>
              <w:rPr>
                <w:rFonts w:ascii="宋体" w:hAnsi="宋体" w:eastAsia="宋体" w:cs="宋体"/>
                <w:color w:val="auto"/>
                <w:spacing w:val="-2"/>
                <w:sz w:val="24"/>
                <w:szCs w:val="24"/>
              </w:rPr>
              <w:t>《和政循环经济产业园发展规划(</w:t>
            </w:r>
            <w:r>
              <w:rPr>
                <w:rFonts w:ascii="Times New Roman" w:hAnsi="Times New Roman" w:eastAsia="Times New Roman" w:cs="Times New Roman"/>
                <w:color w:val="auto"/>
                <w:spacing w:val="-2"/>
                <w:sz w:val="24"/>
                <w:szCs w:val="24"/>
              </w:rPr>
              <w:t>200</w:t>
            </w:r>
            <w:r>
              <w:rPr>
                <w:rFonts w:ascii="Times New Roman" w:hAnsi="Times New Roman" w:eastAsia="Times New Roman" w:cs="Times New Roman"/>
                <w:color w:val="auto"/>
                <w:spacing w:val="-1"/>
                <w:sz w:val="24"/>
                <w:szCs w:val="24"/>
              </w:rPr>
              <w:t>9-2020</w:t>
            </w:r>
            <w:r>
              <w:rPr>
                <w:rFonts w:ascii="宋体" w:hAnsi="宋体" w:eastAsia="宋体" w:cs="宋体"/>
                <w:color w:val="auto"/>
                <w:spacing w:val="-1"/>
                <w:sz w:val="24"/>
                <w:szCs w:val="24"/>
              </w:rPr>
              <w:t>年)》</w:t>
            </w:r>
            <w:r>
              <w:rPr>
                <w:rFonts w:hint="eastAsia" w:ascii="宋体" w:hAnsi="宋体" w:eastAsia="宋体" w:cs="宋体"/>
                <w:color w:val="auto"/>
                <w:spacing w:val="-1"/>
                <w:sz w:val="24"/>
                <w:szCs w:val="24"/>
                <w:lang w:eastAsia="zh-CN"/>
              </w:rPr>
              <w:t>（</w:t>
            </w:r>
            <w:r>
              <w:rPr>
                <w:color w:val="auto"/>
                <w:sz w:val="24"/>
              </w:rPr>
              <w:t>兰州大学城市规划设计研究院</w:t>
            </w:r>
            <w:r>
              <w:rPr>
                <w:rFonts w:hint="eastAsia" w:ascii="宋体" w:hAnsi="宋体" w:eastAsia="宋体" w:cs="宋体"/>
                <w:color w:val="auto"/>
                <w:spacing w:val="-1"/>
                <w:sz w:val="24"/>
                <w:szCs w:val="24"/>
                <w:lang w:eastAsia="zh-CN"/>
              </w:rPr>
              <w:t>）</w:t>
            </w:r>
            <w:r>
              <w:rPr>
                <w:rFonts w:hint="eastAsia" w:ascii="宋体" w:hAnsi="宋体" w:cs="宋体"/>
                <w:color w:val="auto"/>
                <w:spacing w:val="-1"/>
                <w:sz w:val="24"/>
                <w:szCs w:val="24"/>
                <w:lang w:val="en-US" w:eastAsia="zh-CN"/>
              </w:rPr>
              <w:t>已过期，</w:t>
            </w:r>
            <w:r>
              <w:rPr>
                <w:rFonts w:hint="default"/>
                <w:color w:val="auto"/>
                <w:sz w:val="24"/>
                <w:szCs w:val="24"/>
                <w:highlight w:val="none"/>
                <w:lang w:val="en-US" w:eastAsia="zh-CN"/>
              </w:rPr>
              <w:t>《和政县循环经济产业园区总体规划</w:t>
            </w:r>
            <w:r>
              <w:rPr>
                <w:rFonts w:hint="eastAsia" w:ascii="Times New Roman" w:eastAsia="宋体"/>
                <w:color w:val="auto"/>
                <w:sz w:val="24"/>
                <w:szCs w:val="24"/>
                <w:highlight w:val="none"/>
                <w:lang w:val="en-US" w:eastAsia="zh-CN"/>
              </w:rPr>
              <w:t>（</w:t>
            </w:r>
            <w:r>
              <w:rPr>
                <w:rFonts w:hint="default"/>
                <w:color w:val="auto"/>
                <w:sz w:val="24"/>
                <w:szCs w:val="24"/>
                <w:highlight w:val="none"/>
                <w:lang w:val="en-US" w:eastAsia="zh-CN"/>
              </w:rPr>
              <w:t>20</w:t>
            </w:r>
            <w:r>
              <w:rPr>
                <w:rFonts w:hint="eastAsia" w:ascii="Times New Roman" w:eastAsia="宋体"/>
                <w:color w:val="auto"/>
                <w:sz w:val="24"/>
                <w:szCs w:val="24"/>
                <w:highlight w:val="none"/>
                <w:lang w:val="en-US" w:eastAsia="zh-CN"/>
              </w:rPr>
              <w:t>22</w:t>
            </w:r>
            <w:r>
              <w:rPr>
                <w:rFonts w:hint="default"/>
                <w:color w:val="auto"/>
                <w:sz w:val="24"/>
                <w:szCs w:val="24"/>
                <w:highlight w:val="none"/>
                <w:lang w:val="en-US" w:eastAsia="zh-CN"/>
              </w:rPr>
              <w:t>-20</w:t>
            </w:r>
            <w:r>
              <w:rPr>
                <w:rFonts w:hint="eastAsia" w:ascii="Times New Roman" w:eastAsia="宋体"/>
                <w:color w:val="auto"/>
                <w:sz w:val="24"/>
                <w:szCs w:val="24"/>
                <w:highlight w:val="none"/>
                <w:lang w:val="en-US" w:eastAsia="zh-CN"/>
              </w:rPr>
              <w:t>35）</w:t>
            </w:r>
            <w:r>
              <w:rPr>
                <w:rFonts w:hint="default"/>
                <w:color w:val="auto"/>
                <w:sz w:val="24"/>
                <w:szCs w:val="24"/>
                <w:highlight w:val="none"/>
                <w:lang w:val="en-US" w:eastAsia="zh-CN"/>
              </w:rPr>
              <w:t>》</w:t>
            </w:r>
            <w:r>
              <w:rPr>
                <w:rFonts w:hint="eastAsia"/>
                <w:color w:val="auto"/>
                <w:sz w:val="24"/>
                <w:szCs w:val="24"/>
                <w:highlight w:val="none"/>
                <w:lang w:val="en-US" w:eastAsia="zh-CN"/>
              </w:rPr>
              <w:t>暂未通过审批，本项目以和政县循环经济产业园区管委会出具的情况说明为依据（详见附件6），根据情况说明，</w:t>
            </w:r>
            <w:r>
              <w:rPr>
                <w:rFonts w:hint="eastAsia" w:ascii="Times New Roman" w:eastAsia="宋体"/>
                <w:color w:val="auto"/>
                <w:sz w:val="24"/>
                <w:szCs w:val="24"/>
                <w:highlight w:val="none"/>
                <w:lang w:val="en-US" w:eastAsia="zh-CN"/>
              </w:rPr>
              <w:t>项目所在区域已调整为</w:t>
            </w:r>
            <w:r>
              <w:rPr>
                <w:rFonts w:hint="eastAsia" w:ascii="宋体" w:hAnsi="宋体" w:eastAsia="宋体" w:cs="宋体"/>
                <w:color w:val="auto"/>
                <w:sz w:val="24"/>
                <w:szCs w:val="24"/>
                <w:lang w:val="en-US" w:eastAsia="zh-CN"/>
              </w:rPr>
              <w:t>中小企业孵化产业片区</w:t>
            </w:r>
            <w:r>
              <w:rPr>
                <w:rFonts w:hint="eastAsia" w:ascii="宋体" w:hAnsi="宋体" w:cs="宋体"/>
                <w:color w:val="auto"/>
                <w:sz w:val="24"/>
                <w:szCs w:val="24"/>
                <w:lang w:val="en-US" w:eastAsia="zh-CN"/>
              </w:rPr>
              <w:t>，企业符合修编的</w:t>
            </w:r>
            <w:r>
              <w:rPr>
                <w:rFonts w:hint="default"/>
                <w:color w:val="auto"/>
                <w:sz w:val="24"/>
                <w:szCs w:val="24"/>
                <w:highlight w:val="none"/>
                <w:lang w:val="en-US" w:eastAsia="zh-CN"/>
              </w:rPr>
              <w:t>《和政县循环经济产业园区总体规划</w:t>
            </w:r>
            <w:r>
              <w:rPr>
                <w:rFonts w:hint="eastAsia" w:ascii="Times New Roman" w:eastAsia="宋体"/>
                <w:color w:val="auto"/>
                <w:sz w:val="24"/>
                <w:szCs w:val="24"/>
                <w:highlight w:val="none"/>
                <w:lang w:val="en-US" w:eastAsia="zh-CN"/>
              </w:rPr>
              <w:t>（</w:t>
            </w:r>
            <w:r>
              <w:rPr>
                <w:rFonts w:hint="default"/>
                <w:color w:val="auto"/>
                <w:sz w:val="24"/>
                <w:szCs w:val="24"/>
                <w:highlight w:val="none"/>
                <w:lang w:val="en-US" w:eastAsia="zh-CN"/>
              </w:rPr>
              <w:t>20</w:t>
            </w:r>
            <w:r>
              <w:rPr>
                <w:rFonts w:hint="eastAsia" w:ascii="Times New Roman" w:eastAsia="宋体"/>
                <w:color w:val="auto"/>
                <w:sz w:val="24"/>
                <w:szCs w:val="24"/>
                <w:highlight w:val="none"/>
                <w:lang w:val="en-US" w:eastAsia="zh-CN"/>
              </w:rPr>
              <w:t>22</w:t>
            </w:r>
            <w:r>
              <w:rPr>
                <w:rFonts w:hint="default"/>
                <w:color w:val="auto"/>
                <w:sz w:val="24"/>
                <w:szCs w:val="24"/>
                <w:highlight w:val="none"/>
                <w:lang w:val="en-US" w:eastAsia="zh-CN"/>
              </w:rPr>
              <w:t>-20</w:t>
            </w:r>
            <w:r>
              <w:rPr>
                <w:rFonts w:hint="eastAsia" w:ascii="Times New Roman" w:eastAsia="宋体"/>
                <w:color w:val="auto"/>
                <w:sz w:val="24"/>
                <w:szCs w:val="24"/>
                <w:highlight w:val="none"/>
                <w:lang w:val="en-US" w:eastAsia="zh-CN"/>
              </w:rPr>
              <w:t>35）</w:t>
            </w:r>
            <w:r>
              <w:rPr>
                <w:rFonts w:hint="default"/>
                <w:color w:val="auto"/>
                <w:sz w:val="24"/>
                <w:szCs w:val="24"/>
                <w:highlight w:val="none"/>
                <w:lang w:val="en-US" w:eastAsia="zh-CN"/>
              </w:rPr>
              <w:t>》</w:t>
            </w:r>
            <w:r>
              <w:rPr>
                <w:rFonts w:hint="eastAsia"/>
                <w:color w:val="auto"/>
                <w:sz w:val="24"/>
                <w:szCs w:val="24"/>
                <w:highlight w:val="none"/>
                <w:lang w:val="en-US" w:eastAsia="zh-CN"/>
              </w:rPr>
              <w:t>中</w:t>
            </w:r>
            <w:r>
              <w:rPr>
                <w:rFonts w:hint="eastAsia" w:ascii="宋体" w:hAnsi="宋体" w:eastAsia="宋体" w:cs="宋体"/>
                <w:color w:val="auto"/>
                <w:sz w:val="24"/>
                <w:szCs w:val="24"/>
                <w:lang w:val="en-US" w:eastAsia="zh-CN"/>
              </w:rPr>
              <w:t>中小企业孵化产业片区</w:t>
            </w:r>
            <w:r>
              <w:rPr>
                <w:rFonts w:hint="eastAsia"/>
                <w:color w:val="auto"/>
                <w:sz w:val="24"/>
                <w:szCs w:val="24"/>
                <w:highlight w:val="none"/>
                <w:lang w:val="en-US" w:eastAsia="zh-CN"/>
              </w:rPr>
              <w:t>产业定位要求。</w:t>
            </w:r>
          </w:p>
          <w:p>
            <w:pPr>
              <w:keepNext w:val="0"/>
              <w:keepLines w:val="0"/>
              <w:pageBreakBefore w:val="0"/>
              <w:widowControl w:val="0"/>
              <w:kinsoku/>
              <w:wordWrap/>
              <w:overflowPunct/>
              <w:topLinePunct w:val="0"/>
              <w:autoSpaceDE/>
              <w:autoSpaceDN/>
              <w:bidi w:val="0"/>
              <w:adjustRightInd/>
              <w:snapToGrid/>
              <w:spacing w:after="0" w:line="360" w:lineRule="auto"/>
              <w:ind w:firstLine="476" w:firstLineChars="200"/>
              <w:jc w:val="both"/>
              <w:textAlignment w:val="auto"/>
              <w:rPr>
                <w:rFonts w:hint="default" w:ascii="Times New Roman" w:hAnsi="Times New Roman" w:eastAsia="宋体" w:cs="Times New Roman"/>
                <w:color w:val="auto"/>
                <w:spacing w:val="-1"/>
                <w:kern w:val="2"/>
                <w:sz w:val="24"/>
                <w:szCs w:val="24"/>
                <w:lang w:val="en-US" w:eastAsia="zh-CN" w:bidi="ar-SA"/>
              </w:rPr>
            </w:pPr>
            <w:r>
              <w:rPr>
                <w:rFonts w:hint="default" w:ascii="Times New Roman" w:hAnsi="Times New Roman" w:eastAsia="宋体" w:cs="Times New Roman"/>
                <w:color w:val="auto"/>
                <w:spacing w:val="-1"/>
                <w:kern w:val="2"/>
                <w:sz w:val="24"/>
                <w:szCs w:val="24"/>
                <w:lang w:val="en-US" w:eastAsia="zh-CN" w:bidi="ar-SA"/>
              </w:rPr>
              <w:t>（</w:t>
            </w:r>
            <w:r>
              <w:rPr>
                <w:rFonts w:hint="eastAsia" w:ascii="Times New Roman" w:hAnsi="Times New Roman" w:eastAsia="宋体" w:cs="Times New Roman"/>
                <w:color w:val="auto"/>
                <w:spacing w:val="-1"/>
                <w:kern w:val="2"/>
                <w:sz w:val="24"/>
                <w:szCs w:val="24"/>
                <w:lang w:val="en-US" w:eastAsia="zh-CN" w:bidi="ar-SA"/>
              </w:rPr>
              <w:t>2</w:t>
            </w:r>
            <w:r>
              <w:rPr>
                <w:rFonts w:hint="default" w:ascii="Times New Roman" w:hAnsi="Times New Roman" w:eastAsia="宋体" w:cs="Times New Roman"/>
                <w:color w:val="auto"/>
                <w:spacing w:val="-1"/>
                <w:kern w:val="2"/>
                <w:sz w:val="24"/>
                <w:szCs w:val="24"/>
                <w:lang w:val="en-US" w:eastAsia="zh-CN" w:bidi="ar-SA"/>
              </w:rPr>
              <w:t>）项目土地</w:t>
            </w:r>
            <w:r>
              <w:rPr>
                <w:rFonts w:hint="eastAsia" w:cs="Times New Roman"/>
                <w:color w:val="auto"/>
                <w:spacing w:val="-1"/>
                <w:kern w:val="2"/>
                <w:sz w:val="24"/>
                <w:szCs w:val="24"/>
                <w:lang w:val="en-US" w:eastAsia="zh-CN" w:bidi="ar-SA"/>
              </w:rPr>
              <w:t>性质</w:t>
            </w:r>
            <w:r>
              <w:rPr>
                <w:rFonts w:hint="default" w:ascii="Times New Roman" w:hAnsi="Times New Roman" w:eastAsia="宋体" w:cs="Times New Roman"/>
                <w:color w:val="auto"/>
                <w:spacing w:val="-1"/>
                <w:kern w:val="2"/>
                <w:sz w:val="24"/>
                <w:szCs w:val="24"/>
                <w:lang w:val="en-US" w:eastAsia="zh-CN" w:bidi="ar-SA"/>
              </w:rPr>
              <w:t>符合性分析</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color w:val="auto"/>
                <w:lang w:val="en-US" w:eastAsia="zh-CN"/>
              </w:rPr>
            </w:pPr>
            <w:r>
              <w:rPr>
                <w:rFonts w:hint="eastAsia"/>
                <w:color w:val="auto"/>
                <w:sz w:val="24"/>
                <w:szCs w:val="24"/>
                <w:highlight w:val="none"/>
                <w:lang w:val="en-US" w:eastAsia="zh-CN"/>
              </w:rPr>
              <w:t>项目</w:t>
            </w:r>
            <w:r>
              <w:rPr>
                <w:rFonts w:hint="eastAsia" w:ascii="Times New Roman" w:hAnsi="Times New Roman" w:eastAsia="宋体" w:cs="Times New Roman"/>
                <w:color w:val="auto"/>
                <w:kern w:val="2"/>
                <w:sz w:val="24"/>
                <w:szCs w:val="24"/>
                <w:lang w:val="en-US" w:eastAsia="zh-CN" w:bidi="ar-SA"/>
              </w:rPr>
              <w:t>位于</w:t>
            </w:r>
            <w:r>
              <w:rPr>
                <w:rFonts w:hint="eastAsia" w:cs="Times New Roman"/>
                <w:color w:val="auto"/>
                <w:kern w:val="2"/>
                <w:sz w:val="24"/>
                <w:szCs w:val="24"/>
                <w:lang w:val="en-US" w:eastAsia="zh-CN" w:bidi="ar-SA"/>
              </w:rPr>
              <w:t>规划</w:t>
            </w:r>
            <w:r>
              <w:rPr>
                <w:rFonts w:hint="eastAsia" w:ascii="Times New Roman" w:hAnsi="Times New Roman" w:eastAsia="宋体" w:cs="Times New Roman"/>
                <w:color w:val="auto"/>
                <w:kern w:val="2"/>
                <w:sz w:val="24"/>
                <w:szCs w:val="24"/>
                <w:lang w:val="en-US" w:eastAsia="zh-CN" w:bidi="ar-SA"/>
              </w:rPr>
              <w:t>南部片区</w:t>
            </w:r>
            <w:r>
              <w:rPr>
                <w:rFonts w:hint="eastAsia" w:cs="Times New Roman"/>
                <w:color w:val="auto"/>
                <w:kern w:val="2"/>
                <w:sz w:val="24"/>
                <w:szCs w:val="24"/>
                <w:lang w:val="en-US" w:eastAsia="zh-CN" w:bidi="ar-SA"/>
              </w:rPr>
              <w:t>的</w:t>
            </w:r>
            <w:r>
              <w:rPr>
                <w:rFonts w:hint="default" w:ascii="Times New Roman" w:hAnsi="Times New Roman" w:eastAsia="宋体" w:cs="Times New Roman"/>
                <w:b w:val="0"/>
                <w:bCs w:val="0"/>
                <w:color w:val="auto"/>
                <w:kern w:val="0"/>
                <w:sz w:val="24"/>
                <w:szCs w:val="24"/>
                <w:lang w:val="en-US" w:eastAsia="zh-CN" w:bidi="ar-SA"/>
              </w:rPr>
              <w:t>中小企业孵化产业片区</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项目</w:t>
            </w:r>
            <w:r>
              <w:rPr>
                <w:rFonts w:hint="eastAsia" w:ascii="Times New Roman" w:hAnsi="Times New Roman" w:eastAsia="宋体" w:cs="Times New Roman"/>
                <w:color w:val="auto"/>
                <w:kern w:val="2"/>
                <w:sz w:val="24"/>
                <w:szCs w:val="24"/>
                <w:lang w:val="en-US" w:eastAsia="zh-CN" w:bidi="ar-SA"/>
              </w:rPr>
              <w:t>建成后</w:t>
            </w:r>
            <w:r>
              <w:rPr>
                <w:rFonts w:hint="default" w:ascii="Times New Roman" w:hAnsi="Times New Roman" w:eastAsia="宋体" w:cs="Times New Roman"/>
                <w:color w:val="auto"/>
                <w:kern w:val="2"/>
                <w:sz w:val="24"/>
                <w:szCs w:val="24"/>
                <w:lang w:val="en-US" w:eastAsia="zh-CN" w:bidi="ar-SA"/>
              </w:rPr>
              <w:t>主要</w:t>
            </w:r>
            <w:r>
              <w:rPr>
                <w:rFonts w:hint="eastAsia" w:ascii="Times New Roman" w:hAnsi="Times New Roman" w:eastAsia="宋体" w:cs="Times New Roman"/>
                <w:color w:val="auto"/>
                <w:kern w:val="2"/>
                <w:sz w:val="24"/>
                <w:szCs w:val="24"/>
                <w:lang w:val="en-US" w:eastAsia="zh-CN" w:bidi="ar-SA"/>
              </w:rPr>
              <w:t>进行浆水及酸菜生产</w:t>
            </w:r>
            <w:r>
              <w:rPr>
                <w:rFonts w:hint="default" w:ascii="Times New Roman" w:hAnsi="Times New Roman" w:eastAsia="宋体" w:cs="Times New Roman"/>
                <w:color w:val="auto"/>
                <w:kern w:val="2"/>
                <w:sz w:val="24"/>
                <w:szCs w:val="24"/>
                <w:lang w:val="en-US" w:eastAsia="zh-CN" w:bidi="ar-SA"/>
              </w:rPr>
              <w:t>，项目用地</w:t>
            </w:r>
            <w:r>
              <w:rPr>
                <w:rFonts w:hint="eastAsia" w:cs="Times New Roman"/>
                <w:color w:val="auto"/>
                <w:kern w:val="2"/>
                <w:sz w:val="24"/>
                <w:szCs w:val="24"/>
                <w:lang w:val="en-US" w:eastAsia="zh-CN" w:bidi="ar-SA"/>
              </w:rPr>
              <w:t>性质</w:t>
            </w:r>
            <w:r>
              <w:rPr>
                <w:rFonts w:hint="default" w:ascii="Times New Roman" w:hAnsi="Times New Roman" w:eastAsia="宋体" w:cs="Times New Roman"/>
                <w:color w:val="auto"/>
                <w:kern w:val="2"/>
                <w:sz w:val="24"/>
                <w:szCs w:val="24"/>
                <w:lang w:val="en-US" w:eastAsia="zh-CN" w:bidi="ar-SA"/>
              </w:rPr>
              <w:t>为工业用地，用地性质</w:t>
            </w:r>
            <w:r>
              <w:rPr>
                <w:rFonts w:hint="default" w:ascii="Times New Roman" w:hAnsi="Times New Roman" w:eastAsia="宋体" w:cs="Times New Roman"/>
                <w:color w:val="auto"/>
                <w:spacing w:val="-1"/>
                <w:kern w:val="2"/>
                <w:sz w:val="24"/>
                <w:szCs w:val="24"/>
                <w:lang w:val="en-US" w:eastAsia="zh-CN" w:bidi="ar-SA"/>
              </w:rPr>
              <w:t>符合规划，不动产权证书见附件</w:t>
            </w:r>
            <w:r>
              <w:rPr>
                <w:rFonts w:hint="eastAsia" w:cs="Times New Roman"/>
                <w:color w:val="auto"/>
                <w:spacing w:val="-1"/>
                <w:kern w:val="2"/>
                <w:sz w:val="24"/>
                <w:szCs w:val="24"/>
                <w:lang w:val="en-US" w:eastAsia="zh-CN" w:bidi="ar-SA"/>
              </w:rPr>
              <w:t>4，土地性质调整文件见附件5</w:t>
            </w:r>
            <w:r>
              <w:rPr>
                <w:rFonts w:hint="default" w:ascii="Times New Roman" w:hAnsi="Times New Roman" w:eastAsia="宋体" w:cs="Times New Roman"/>
                <w:color w:val="auto"/>
                <w:kern w:val="2"/>
                <w:sz w:val="24"/>
                <w:szCs w:val="24"/>
                <w:lang w:val="en-US" w:eastAsia="en-US"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969" w:type="dxa"/>
            <w:noWrap w:val="0"/>
            <w:vAlign w:val="center"/>
          </w:tcPr>
          <w:p>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其他符合性分析</w:t>
            </w:r>
          </w:p>
        </w:tc>
        <w:tc>
          <w:tcPr>
            <w:tcW w:w="6901" w:type="dxa"/>
            <w:gridSpan w:val="3"/>
            <w:noWrap w:val="0"/>
            <w:vAlign w:val="center"/>
          </w:tcPr>
          <w:p>
            <w:pPr>
              <w:widowControl/>
              <w:spacing w:line="360" w:lineRule="auto"/>
              <w:ind w:firstLine="506" w:firstLineChars="200"/>
              <w:rPr>
                <w:b/>
                <w:bCs/>
                <w:color w:val="auto"/>
                <w:spacing w:val="6"/>
                <w:sz w:val="24"/>
              </w:rPr>
            </w:pPr>
            <w:r>
              <w:rPr>
                <w:b/>
                <w:bCs/>
                <w:color w:val="auto"/>
                <w:spacing w:val="6"/>
                <w:sz w:val="24"/>
              </w:rPr>
              <w:t>1、产业政策符合性分析</w:t>
            </w:r>
          </w:p>
          <w:p>
            <w:pPr>
              <w:widowControl w:val="0"/>
              <w:autoSpaceDE w:val="0"/>
              <w:autoSpaceDN w:val="0"/>
              <w:spacing w:before="0" w:beforeAutospacing="0" w:after="0" w:afterAutospacing="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0"/>
                <w:sz w:val="24"/>
                <w:szCs w:val="20"/>
                <w:lang w:val="en-US" w:eastAsia="zh-CN" w:bidi="ar-SA"/>
              </w:rPr>
              <w:t>本项目为</w:t>
            </w:r>
            <w:r>
              <w:rPr>
                <w:rFonts w:hint="eastAsia" w:ascii="Times New Roman" w:hAnsi="Times New Roman" w:eastAsia="宋体" w:cs="Times New Roman"/>
                <w:color w:val="auto"/>
                <w:kern w:val="0"/>
                <w:sz w:val="24"/>
                <w:szCs w:val="20"/>
                <w:lang w:val="en-US" w:eastAsia="zh-CN" w:bidi="ar-SA"/>
              </w:rPr>
              <w:t>浆水、酸菜生产</w:t>
            </w:r>
            <w:r>
              <w:rPr>
                <w:rFonts w:ascii="Times New Roman" w:hAnsi="Times New Roman" w:eastAsia="宋体" w:cs="Times New Roman"/>
                <w:color w:val="auto"/>
                <w:kern w:val="0"/>
                <w:sz w:val="24"/>
                <w:szCs w:val="20"/>
                <w:lang w:val="en-US" w:eastAsia="zh-CN" w:bidi="ar-SA"/>
              </w:rPr>
              <w:t>建设项目，</w:t>
            </w:r>
            <w:r>
              <w:rPr>
                <w:rFonts w:ascii="Times New Roman" w:hAnsi="Times New Roman" w:eastAsia="宋体" w:cs="Times New Roman"/>
                <w:color w:val="auto"/>
                <w:kern w:val="2"/>
                <w:sz w:val="24"/>
                <w:szCs w:val="20"/>
                <w:lang w:val="en-US" w:eastAsia="zh-CN" w:bidi="ar-SA"/>
              </w:rPr>
              <w:t>根据</w:t>
            </w:r>
            <w:r>
              <w:rPr>
                <w:rFonts w:ascii="Times New Roman" w:hAnsi="Times New Roman" w:eastAsia="宋体" w:cs="Times New Roman"/>
                <w:color w:val="auto"/>
                <w:kern w:val="0"/>
                <w:sz w:val="24"/>
                <w:szCs w:val="20"/>
                <w:lang w:val="en-US" w:eastAsia="zh-CN" w:bidi="ar-SA"/>
              </w:rPr>
              <w:t>《产业结构调整指导目录（20</w:t>
            </w:r>
            <w:r>
              <w:rPr>
                <w:rFonts w:hint="eastAsia" w:ascii="Times New Roman" w:hAnsi="Times New Roman" w:eastAsia="宋体" w:cs="Times New Roman"/>
                <w:color w:val="auto"/>
                <w:kern w:val="0"/>
                <w:sz w:val="24"/>
                <w:szCs w:val="20"/>
                <w:lang w:val="en-US" w:eastAsia="zh-CN" w:bidi="ar-SA"/>
              </w:rPr>
              <w:t>24</w:t>
            </w:r>
            <w:r>
              <w:rPr>
                <w:rFonts w:ascii="Times New Roman" w:hAnsi="Times New Roman" w:eastAsia="宋体" w:cs="Times New Roman"/>
                <w:color w:val="auto"/>
                <w:kern w:val="0"/>
                <w:sz w:val="24"/>
                <w:szCs w:val="20"/>
                <w:lang w:val="en-US" w:eastAsia="zh-CN" w:bidi="ar-SA"/>
              </w:rPr>
              <w:t>年本）》</w:t>
            </w:r>
            <w:r>
              <w:rPr>
                <w:rFonts w:ascii="Times New Roman" w:hAnsi="Times New Roman" w:eastAsia="宋体" w:cs="Times New Roman"/>
                <w:color w:val="auto"/>
                <w:kern w:val="2"/>
                <w:sz w:val="24"/>
                <w:szCs w:val="20"/>
                <w:lang w:val="en-US" w:eastAsia="zh-CN" w:bidi="ar-SA"/>
              </w:rPr>
              <w:t>中的相关规定，本项目不属于鼓励类、限制类和淘汰类，为允许类建设项目，符合国家产业政策。</w:t>
            </w:r>
          </w:p>
          <w:p>
            <w:pPr>
              <w:widowControl/>
              <w:spacing w:line="360" w:lineRule="auto"/>
              <w:ind w:firstLine="506" w:firstLineChars="200"/>
              <w:rPr>
                <w:b/>
                <w:bCs/>
                <w:color w:val="auto"/>
                <w:spacing w:val="6"/>
                <w:sz w:val="24"/>
              </w:rPr>
            </w:pPr>
            <w:r>
              <w:rPr>
                <w:b/>
                <w:bCs/>
                <w:color w:val="auto"/>
                <w:spacing w:val="6"/>
                <w:sz w:val="24"/>
              </w:rPr>
              <w:t>2、</w:t>
            </w:r>
            <w:r>
              <w:rPr>
                <w:rFonts w:hint="eastAsia"/>
                <w:b/>
                <w:bCs/>
                <w:color w:val="auto"/>
                <w:sz w:val="24"/>
                <w:szCs w:val="32"/>
                <w:lang w:eastAsia="zh-CN"/>
              </w:rPr>
              <w:t>“</w:t>
            </w:r>
            <w:r>
              <w:rPr>
                <w:b/>
                <w:bCs/>
                <w:color w:val="auto"/>
                <w:sz w:val="24"/>
                <w:szCs w:val="32"/>
              </w:rPr>
              <w:t>三线一单</w:t>
            </w:r>
            <w:r>
              <w:rPr>
                <w:rFonts w:hint="eastAsia"/>
                <w:b/>
                <w:bCs/>
                <w:color w:val="auto"/>
                <w:sz w:val="24"/>
                <w:szCs w:val="32"/>
                <w:lang w:eastAsia="zh-CN"/>
              </w:rPr>
              <w:t>”</w:t>
            </w:r>
            <w:r>
              <w:rPr>
                <w:b/>
                <w:bCs/>
                <w:color w:val="auto"/>
                <w:sz w:val="24"/>
                <w:szCs w:val="32"/>
              </w:rPr>
              <w:t>符合性分析</w:t>
            </w:r>
          </w:p>
          <w:p>
            <w:pPr>
              <w:autoSpaceDE w:val="0"/>
              <w:autoSpaceDN w:val="0"/>
              <w:adjustRightInd w:val="0"/>
              <w:snapToGrid w:val="0"/>
              <w:spacing w:line="360" w:lineRule="auto"/>
              <w:ind w:firstLine="480" w:firstLineChars="200"/>
              <w:rPr>
                <w:rFonts w:hint="eastAsia" w:hAnsi="宋体"/>
                <w:color w:val="auto"/>
                <w:kern w:val="0"/>
                <w:sz w:val="24"/>
                <w:highlight w:val="none"/>
              </w:rPr>
            </w:pPr>
            <w:r>
              <w:rPr>
                <w:color w:val="auto"/>
                <w:kern w:val="0"/>
                <w:sz w:val="24"/>
              </w:rPr>
              <w:t>本项目建设地点位于</w:t>
            </w:r>
            <w:r>
              <w:rPr>
                <w:rFonts w:hint="eastAsia" w:ascii="宋体" w:hAnsi="宋体" w:cs="宋体"/>
                <w:color w:val="auto"/>
                <w:sz w:val="24"/>
                <w:lang w:val="en-US" w:eastAsia="zh-CN"/>
              </w:rPr>
              <w:t>临夏</w:t>
            </w:r>
            <w:r>
              <w:rPr>
                <w:rFonts w:hint="eastAsia" w:ascii="宋体" w:hAnsi="宋体" w:cs="宋体"/>
                <w:color w:val="auto"/>
                <w:sz w:val="24"/>
              </w:rPr>
              <w:t>州</w:t>
            </w:r>
            <w:r>
              <w:rPr>
                <w:rFonts w:hint="eastAsia" w:ascii="宋体" w:hAnsi="宋体" w:cs="宋体"/>
                <w:color w:val="auto"/>
                <w:sz w:val="24"/>
                <w:lang w:val="en-US" w:eastAsia="zh-CN"/>
              </w:rPr>
              <w:t>和政县</w:t>
            </w:r>
            <w:r>
              <w:rPr>
                <w:rFonts w:hint="eastAsia" w:ascii="宋体" w:hAnsi="宋体" w:cs="宋体"/>
                <w:color w:val="auto"/>
                <w:sz w:val="24"/>
              </w:rPr>
              <w:t>境内</w:t>
            </w:r>
            <w:r>
              <w:rPr>
                <w:rFonts w:hAnsi="宋体"/>
                <w:color w:val="auto"/>
                <w:kern w:val="0"/>
                <w:sz w:val="24"/>
              </w:rPr>
              <w:t>，</w:t>
            </w:r>
            <w:r>
              <w:rPr>
                <w:rFonts w:hint="eastAsia" w:hAnsi="宋体"/>
                <w:color w:val="auto"/>
                <w:kern w:val="0"/>
                <w:sz w:val="24"/>
              </w:rPr>
              <w:t>根据项目矢量核查（</w:t>
            </w:r>
            <w:r>
              <w:rPr>
                <w:rFonts w:hint="eastAsia" w:hAnsi="宋体"/>
                <w:color w:val="auto"/>
                <w:kern w:val="0"/>
                <w:sz w:val="24"/>
                <w:lang w:val="en-US" w:eastAsia="zh-CN"/>
              </w:rPr>
              <w:t>选址分析结果</w:t>
            </w:r>
            <w:r>
              <w:rPr>
                <w:rFonts w:hint="eastAsia" w:hAnsi="宋体"/>
                <w:color w:val="auto"/>
                <w:kern w:val="0"/>
                <w:sz w:val="24"/>
                <w:highlight w:val="none"/>
              </w:rPr>
              <w:t>文件见附件</w:t>
            </w:r>
            <w:r>
              <w:rPr>
                <w:rFonts w:hint="eastAsia" w:hAnsi="宋体"/>
                <w:color w:val="auto"/>
                <w:kern w:val="0"/>
                <w:sz w:val="24"/>
                <w:highlight w:val="none"/>
                <w:lang w:val="en-US" w:eastAsia="zh-CN"/>
              </w:rPr>
              <w:t>7</w:t>
            </w:r>
            <w:r>
              <w:rPr>
                <w:rFonts w:hint="eastAsia" w:hAnsi="宋体"/>
                <w:color w:val="auto"/>
                <w:kern w:val="0"/>
                <w:sz w:val="24"/>
                <w:highlight w:val="none"/>
              </w:rPr>
              <w:t>），结果见表1-2。</w:t>
            </w:r>
          </w:p>
          <w:p>
            <w:pPr>
              <w:widowControl w:val="0"/>
              <w:ind w:firstLine="0" w:firstLineChars="0"/>
              <w:jc w:val="center"/>
              <w:rPr>
                <w:rFonts w:ascii="Times New Roman" w:hAnsi="宋体" w:eastAsia="宋体" w:cs="Times New Roman"/>
                <w:b/>
                <w:bCs/>
                <w:color w:val="auto"/>
                <w:kern w:val="0"/>
                <w:sz w:val="24"/>
                <w:szCs w:val="24"/>
                <w:highlight w:val="none"/>
                <w:lang w:val="en-US" w:eastAsia="zh-CN" w:bidi="ar-SA"/>
              </w:rPr>
            </w:pPr>
            <w:r>
              <w:rPr>
                <w:rFonts w:hint="eastAsia" w:ascii="Times New Roman" w:hAnsi="宋体" w:eastAsia="宋体" w:cs="Times New Roman"/>
                <w:b/>
                <w:bCs/>
                <w:color w:val="auto"/>
                <w:kern w:val="0"/>
                <w:sz w:val="24"/>
                <w:szCs w:val="24"/>
                <w:highlight w:val="none"/>
                <w:lang w:val="en-US" w:eastAsia="zh-CN" w:bidi="ar-SA"/>
              </w:rPr>
              <w:t>表1-2  项目选址矢量核查结果</w:t>
            </w:r>
          </w:p>
          <w:tbl>
            <w:tblPr>
              <w:tblStyle w:val="24"/>
              <w:tblW w:w="668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184"/>
              <w:gridCol w:w="2027"/>
              <w:gridCol w:w="17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2" w:type="dxa"/>
                  <w:noWrap w:val="0"/>
                  <w:vAlign w:val="center"/>
                </w:tcPr>
                <w:p>
                  <w:pPr>
                    <w:pStyle w:val="32"/>
                    <w:bidi w:val="0"/>
                    <w:rPr>
                      <w:color w:val="auto"/>
                      <w:highlight w:val="none"/>
                    </w:rPr>
                  </w:pPr>
                  <w:r>
                    <w:rPr>
                      <w:rFonts w:hint="eastAsia"/>
                      <w:color w:val="auto"/>
                      <w:highlight w:val="none"/>
                    </w:rPr>
                    <w:t>序号</w:t>
                  </w:r>
                </w:p>
              </w:tc>
              <w:tc>
                <w:tcPr>
                  <w:tcW w:w="2184" w:type="dxa"/>
                  <w:noWrap w:val="0"/>
                  <w:vAlign w:val="center"/>
                </w:tcPr>
                <w:p>
                  <w:pPr>
                    <w:pStyle w:val="32"/>
                    <w:bidi w:val="0"/>
                    <w:rPr>
                      <w:color w:val="auto"/>
                      <w:highlight w:val="none"/>
                    </w:rPr>
                  </w:pPr>
                  <w:r>
                    <w:rPr>
                      <w:rFonts w:hint="eastAsia"/>
                      <w:color w:val="auto"/>
                      <w:highlight w:val="none"/>
                    </w:rPr>
                    <w:t>项目名称</w:t>
                  </w:r>
                </w:p>
              </w:tc>
              <w:tc>
                <w:tcPr>
                  <w:tcW w:w="2027" w:type="dxa"/>
                  <w:noWrap w:val="0"/>
                  <w:vAlign w:val="center"/>
                </w:tcPr>
                <w:p>
                  <w:pPr>
                    <w:pStyle w:val="32"/>
                    <w:bidi w:val="0"/>
                    <w:rPr>
                      <w:color w:val="auto"/>
                      <w:highlight w:val="none"/>
                    </w:rPr>
                  </w:pPr>
                  <w:r>
                    <w:rPr>
                      <w:rFonts w:hint="eastAsia"/>
                      <w:color w:val="auto"/>
                      <w:highlight w:val="none"/>
                    </w:rPr>
                    <w:t>核查结果</w:t>
                  </w:r>
                </w:p>
              </w:tc>
              <w:tc>
                <w:tcPr>
                  <w:tcW w:w="1752" w:type="dxa"/>
                  <w:noWrap w:val="0"/>
                  <w:vAlign w:val="center"/>
                </w:tcPr>
                <w:p>
                  <w:pPr>
                    <w:pStyle w:val="32"/>
                    <w:bidi w:val="0"/>
                    <w:rPr>
                      <w:color w:val="auto"/>
                      <w:highlight w:val="none"/>
                    </w:rPr>
                  </w:pPr>
                  <w:r>
                    <w:rPr>
                      <w:rFonts w:hint="eastAsia"/>
                      <w:color w:val="auto"/>
                      <w:highlight w:val="none"/>
                    </w:rPr>
                    <w:t>编码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2" w:type="dxa"/>
                  <w:noWrap w:val="0"/>
                  <w:vAlign w:val="center"/>
                </w:tcPr>
                <w:p>
                  <w:pPr>
                    <w:pStyle w:val="32"/>
                    <w:bidi w:val="0"/>
                    <w:rPr>
                      <w:color w:val="auto"/>
                      <w:highlight w:val="none"/>
                    </w:rPr>
                  </w:pPr>
                  <w:r>
                    <w:rPr>
                      <w:rFonts w:hint="eastAsia"/>
                      <w:color w:val="auto"/>
                      <w:highlight w:val="none"/>
                    </w:rPr>
                    <w:t>1</w:t>
                  </w:r>
                </w:p>
              </w:tc>
              <w:tc>
                <w:tcPr>
                  <w:tcW w:w="2184" w:type="dxa"/>
                  <w:noWrap w:val="0"/>
                  <w:vAlign w:val="center"/>
                </w:tcPr>
                <w:p>
                  <w:pPr>
                    <w:pStyle w:val="32"/>
                    <w:bidi w:val="0"/>
                    <w:rPr>
                      <w:color w:val="auto"/>
                      <w:highlight w:val="none"/>
                    </w:rPr>
                  </w:pPr>
                  <w:r>
                    <w:rPr>
                      <w:rFonts w:hint="eastAsia"/>
                      <w:color w:val="auto"/>
                      <w:highlight w:val="none"/>
                    </w:rPr>
                    <w:t>浆水酸菜及衍生品生产项目</w:t>
                  </w:r>
                </w:p>
              </w:tc>
              <w:tc>
                <w:tcPr>
                  <w:tcW w:w="2027" w:type="dxa"/>
                  <w:noWrap w:val="0"/>
                  <w:vAlign w:val="center"/>
                </w:tcPr>
                <w:p>
                  <w:pPr>
                    <w:pStyle w:val="32"/>
                    <w:bidi w:val="0"/>
                    <w:rPr>
                      <w:rFonts w:hint="eastAsia"/>
                      <w:color w:val="auto"/>
                      <w:highlight w:val="none"/>
                    </w:rPr>
                  </w:pPr>
                  <w:r>
                    <w:rPr>
                      <w:rFonts w:hint="eastAsia"/>
                      <w:color w:val="auto"/>
                      <w:highlight w:val="none"/>
                    </w:rPr>
                    <w:t>和政循环经济产业园重点管控单元</w:t>
                  </w:r>
                </w:p>
              </w:tc>
              <w:tc>
                <w:tcPr>
                  <w:tcW w:w="1752" w:type="dxa"/>
                  <w:noWrap w:val="0"/>
                  <w:vAlign w:val="center"/>
                </w:tcPr>
                <w:p>
                  <w:pPr>
                    <w:pStyle w:val="32"/>
                    <w:bidi w:val="0"/>
                    <w:rPr>
                      <w:rFonts w:hint="eastAsia"/>
                      <w:color w:val="auto"/>
                      <w:highlight w:val="none"/>
                    </w:rPr>
                  </w:pPr>
                  <w:r>
                    <w:rPr>
                      <w:rFonts w:hint="eastAsia"/>
                      <w:color w:val="auto"/>
                      <w:highlight w:val="none"/>
                    </w:rPr>
                    <w:t>ZH62292520002</w:t>
                  </w:r>
                </w:p>
              </w:tc>
            </w:tr>
          </w:tbl>
          <w:p>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rPr>
            </w:pPr>
            <w:r>
              <w:rPr>
                <w:color w:val="auto"/>
              </w:rPr>
              <w:t>根据</w:t>
            </w:r>
            <w:r>
              <w:rPr>
                <w:rFonts w:hint="eastAsia"/>
                <w:color w:val="auto"/>
              </w:rPr>
              <w:t>《甘肃省生态环境厅关于实施</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生态环境分区管控动态更新成果的通知》（甘环发〔2024〕18号）</w:t>
            </w:r>
            <w:r>
              <w:rPr>
                <w:color w:val="auto"/>
              </w:rPr>
              <w:t>，</w:t>
            </w:r>
            <w:r>
              <w:rPr>
                <w:rFonts w:hint="eastAsia"/>
                <w:color w:val="auto"/>
                <w:lang w:val="en-US" w:eastAsia="zh-CN"/>
              </w:rPr>
              <w:t>临夏</w:t>
            </w:r>
            <w:r>
              <w:rPr>
                <w:rFonts w:hint="eastAsia"/>
                <w:color w:val="auto"/>
              </w:rPr>
              <w:t>州</w:t>
            </w:r>
            <w:r>
              <w:rPr>
                <w:color w:val="auto"/>
              </w:rPr>
              <w:t>共划定环境管控单元</w:t>
            </w:r>
            <w:r>
              <w:rPr>
                <w:rFonts w:hint="eastAsia"/>
                <w:color w:val="auto"/>
                <w:lang w:val="en-US" w:eastAsia="zh-CN"/>
              </w:rPr>
              <w:t>67</w:t>
            </w:r>
            <w:r>
              <w:rPr>
                <w:color w:val="auto"/>
              </w:rPr>
              <w:t>个，分为优先保护单元、重点管控单元和一般管控单元三类，实施分类管控。</w:t>
            </w:r>
          </w:p>
          <w:p>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rPr>
            </w:pPr>
            <w:r>
              <w:rPr>
                <w:rFonts w:hint="eastAsia"/>
                <w:color w:val="auto"/>
              </w:rPr>
              <w:t>本项目涉及区域属于</w:t>
            </w:r>
            <w:r>
              <w:rPr>
                <w:rFonts w:hint="eastAsia"/>
                <w:color w:val="auto"/>
                <w:lang w:val="en-US" w:eastAsia="zh-CN"/>
              </w:rPr>
              <w:t>和政县重点</w:t>
            </w:r>
            <w:r>
              <w:rPr>
                <w:rFonts w:hint="eastAsia"/>
                <w:color w:val="auto"/>
              </w:rPr>
              <w:t>管控单元。</w:t>
            </w:r>
          </w:p>
          <w:p>
            <w:pPr>
              <w:autoSpaceDE w:val="0"/>
              <w:autoSpaceDN w:val="0"/>
              <w:adjustRightInd w:val="0"/>
              <w:snapToGrid w:val="0"/>
              <w:spacing w:line="360" w:lineRule="auto"/>
              <w:ind w:firstLine="480" w:firstLineChars="200"/>
              <w:rPr>
                <w:rFonts w:hint="eastAsia" w:hAnsi="宋体"/>
                <w:color w:val="auto"/>
                <w:kern w:val="0"/>
                <w:sz w:val="24"/>
              </w:rPr>
            </w:pPr>
            <w:r>
              <w:rPr>
                <w:rFonts w:hint="eastAsia" w:hAnsi="宋体"/>
                <w:color w:val="auto"/>
                <w:kern w:val="0"/>
                <w:sz w:val="24"/>
              </w:rPr>
              <w:t>一重点管控单元。主要包括中心城区和城镇规划区、各级各类工业园区及工业集聚区等开发强度高、环境问题相对集中的区域。该区域是经济社会高质量发展的主要承载区，主要推进产业结构和能源结构调整，优化交通结构和用地结构，不断提高资源能源利用效率，加强污染物排放控制和环境风险防控，解决突出生态环境问题。</w:t>
            </w:r>
          </w:p>
          <w:p>
            <w:pPr>
              <w:autoSpaceDE w:val="0"/>
              <w:autoSpaceDN w:val="0"/>
              <w:adjustRightInd w:val="0"/>
              <w:snapToGrid w:val="0"/>
              <w:spacing w:line="360" w:lineRule="auto"/>
              <w:ind w:firstLine="480" w:firstLineChars="200"/>
              <w:rPr>
                <w:rFonts w:hint="eastAsia" w:hAnsi="宋体"/>
                <w:color w:val="auto"/>
                <w:kern w:val="0"/>
                <w:sz w:val="24"/>
              </w:rPr>
            </w:pPr>
            <w:r>
              <w:rPr>
                <w:rFonts w:hint="eastAsia" w:hAnsi="宋体"/>
                <w:color w:val="auto"/>
                <w:kern w:val="0"/>
                <w:sz w:val="24"/>
              </w:rPr>
              <w:t>一一般管控单元。主要包括优先保护单元、重点管控单元以外的区域。该区域以促进生活、生态、生产功能的协调融合为主要目标，主要落实生态环境保护基本要求，加强生活污染和农业面源污染治理，推动区域生态环境质量持续改善和区域经济社会可持续发展。</w:t>
            </w:r>
          </w:p>
          <w:p>
            <w:pPr>
              <w:autoSpaceDE w:val="0"/>
              <w:autoSpaceDN w:val="0"/>
              <w:adjustRightInd w:val="0"/>
              <w:snapToGrid w:val="0"/>
              <w:spacing w:line="360" w:lineRule="auto"/>
              <w:ind w:firstLine="480" w:firstLineChars="200"/>
              <w:rPr>
                <w:rFonts w:hint="eastAsia"/>
                <w:color w:val="auto"/>
                <w:sz w:val="24"/>
              </w:rPr>
            </w:pPr>
            <w:r>
              <w:rPr>
                <w:rFonts w:hAnsi="宋体"/>
                <w:color w:val="auto"/>
                <w:kern w:val="0"/>
                <w:sz w:val="24"/>
              </w:rPr>
              <w:t>本项目</w:t>
            </w:r>
            <w:r>
              <w:rPr>
                <w:rFonts w:hint="eastAsia" w:hAnsi="宋体"/>
                <w:color w:val="auto"/>
                <w:kern w:val="0"/>
                <w:sz w:val="24"/>
              </w:rPr>
              <w:t>浆水酸菜及衍生品生产项目</w:t>
            </w:r>
            <w:r>
              <w:rPr>
                <w:rFonts w:hAnsi="宋体"/>
                <w:color w:val="auto"/>
                <w:kern w:val="0"/>
                <w:sz w:val="24"/>
              </w:rPr>
              <w:t>，</w:t>
            </w:r>
            <w:r>
              <w:rPr>
                <w:rFonts w:hint="eastAsia" w:hAnsi="宋体"/>
                <w:color w:val="auto"/>
                <w:kern w:val="0"/>
                <w:sz w:val="24"/>
                <w:lang w:val="en-US" w:eastAsia="zh-CN"/>
              </w:rPr>
              <w:t>污染物排放量较小，</w:t>
            </w:r>
            <w:r>
              <w:rPr>
                <w:color w:val="auto"/>
                <w:sz w:val="24"/>
              </w:rPr>
              <w:t>本项目运营期采取有效的污染防治措施之后，废气、废水、噪声均可达标排放，固体废物得到妥善处置，符合</w:t>
            </w:r>
            <w:r>
              <w:rPr>
                <w:rFonts w:hint="eastAsia"/>
                <w:color w:val="auto"/>
                <w:sz w:val="24"/>
                <w:lang w:eastAsia="zh-CN"/>
              </w:rPr>
              <w:t>“</w:t>
            </w:r>
            <w:r>
              <w:rPr>
                <w:rFonts w:hint="eastAsia"/>
                <w:color w:val="auto"/>
                <w:sz w:val="24"/>
                <w:lang w:val="en-US" w:eastAsia="zh-CN"/>
              </w:rPr>
              <w:t>重点</w:t>
            </w:r>
            <w:r>
              <w:rPr>
                <w:color w:val="auto"/>
                <w:sz w:val="24"/>
              </w:rPr>
              <w:t>控制单元</w:t>
            </w:r>
            <w:r>
              <w:rPr>
                <w:rFonts w:hint="eastAsia"/>
                <w:color w:val="auto"/>
                <w:sz w:val="24"/>
                <w:lang w:eastAsia="zh-CN"/>
              </w:rPr>
              <w:t>”</w:t>
            </w:r>
            <w:r>
              <w:rPr>
                <w:color w:val="auto"/>
                <w:sz w:val="24"/>
              </w:rPr>
              <w:t>管控要求</w:t>
            </w:r>
            <w:r>
              <w:rPr>
                <w:rFonts w:hint="eastAsia"/>
                <w:color w:val="auto"/>
                <w:sz w:val="24"/>
              </w:rPr>
              <w:t>。</w:t>
            </w:r>
          </w:p>
          <w:p>
            <w:pPr>
              <w:autoSpaceDE w:val="0"/>
              <w:autoSpaceDN w:val="0"/>
              <w:adjustRightInd w:val="0"/>
              <w:snapToGrid w:val="0"/>
              <w:spacing w:line="360" w:lineRule="auto"/>
              <w:ind w:firstLine="480" w:firstLineChars="200"/>
              <w:rPr>
                <w:rFonts w:hAnsi="宋体"/>
                <w:color w:val="auto"/>
                <w:kern w:val="0"/>
                <w:sz w:val="24"/>
              </w:rPr>
            </w:pPr>
            <w:r>
              <w:rPr>
                <w:rFonts w:hAnsi="宋体"/>
                <w:color w:val="auto"/>
                <w:kern w:val="0"/>
                <w:sz w:val="24"/>
              </w:rPr>
              <w:fldChar w:fldCharType="begin"/>
            </w:r>
            <w:r>
              <w:rPr>
                <w:rFonts w:hAnsi="宋体"/>
                <w:color w:val="auto"/>
                <w:kern w:val="0"/>
                <w:sz w:val="24"/>
              </w:rPr>
              <w:instrText xml:space="preserve"> = 1 \* GB2 </w:instrText>
            </w:r>
            <w:r>
              <w:rPr>
                <w:rFonts w:hAnsi="宋体"/>
                <w:color w:val="auto"/>
                <w:kern w:val="0"/>
                <w:sz w:val="24"/>
              </w:rPr>
              <w:fldChar w:fldCharType="separate"/>
            </w:r>
            <w:r>
              <w:rPr>
                <w:rFonts w:hAnsi="宋体"/>
                <w:color w:val="auto"/>
                <w:kern w:val="0"/>
                <w:sz w:val="24"/>
              </w:rPr>
              <w:t>⑴</w:t>
            </w:r>
            <w:r>
              <w:rPr>
                <w:rFonts w:hAnsi="宋体"/>
                <w:color w:val="auto"/>
                <w:kern w:val="0"/>
                <w:sz w:val="24"/>
              </w:rPr>
              <w:fldChar w:fldCharType="end"/>
            </w:r>
            <w:r>
              <w:rPr>
                <w:rFonts w:hAnsi="宋体"/>
                <w:color w:val="auto"/>
                <w:kern w:val="0"/>
                <w:sz w:val="24"/>
              </w:rPr>
              <w:t>与生态保护红线</w:t>
            </w:r>
          </w:p>
          <w:p>
            <w:pPr>
              <w:autoSpaceDE w:val="0"/>
              <w:autoSpaceDN w:val="0"/>
              <w:adjustRightInd w:val="0"/>
              <w:snapToGrid w:val="0"/>
              <w:spacing w:line="360" w:lineRule="auto"/>
              <w:ind w:firstLine="480" w:firstLineChars="200"/>
              <w:rPr>
                <w:rFonts w:hint="eastAsia" w:hAnsi="宋体"/>
                <w:color w:val="auto"/>
                <w:kern w:val="0"/>
                <w:sz w:val="24"/>
              </w:rPr>
            </w:pPr>
            <w:r>
              <w:rPr>
                <w:rFonts w:hint="eastAsia" w:hAnsi="宋体"/>
                <w:color w:val="auto"/>
                <w:kern w:val="0"/>
                <w:sz w:val="24"/>
              </w:rPr>
              <w:t>根据矢量数据核查，本项目所在地不涉及国家限制开发区和禁止开发区、重要生态功能区、生态环境敏感区和脆弱区，不涉及自然保护区、风景名胜区、森林公园、地质公园、湿地公园等生态敏感区。项目选线不在生态保护红线内。</w:t>
            </w:r>
          </w:p>
          <w:p>
            <w:pPr>
              <w:autoSpaceDE w:val="0"/>
              <w:autoSpaceDN w:val="0"/>
              <w:adjustRightInd w:val="0"/>
              <w:snapToGrid w:val="0"/>
              <w:spacing w:line="360" w:lineRule="auto"/>
              <w:ind w:firstLine="480" w:firstLineChars="200"/>
              <w:rPr>
                <w:rFonts w:hAnsi="宋体"/>
                <w:color w:val="auto"/>
                <w:kern w:val="0"/>
                <w:sz w:val="24"/>
              </w:rPr>
            </w:pPr>
            <w:r>
              <w:rPr>
                <w:rFonts w:hAnsi="宋体"/>
                <w:color w:val="auto"/>
                <w:kern w:val="0"/>
                <w:sz w:val="24"/>
              </w:rPr>
              <w:fldChar w:fldCharType="begin"/>
            </w:r>
            <w:r>
              <w:rPr>
                <w:rFonts w:hAnsi="宋体"/>
                <w:color w:val="auto"/>
                <w:kern w:val="0"/>
                <w:sz w:val="24"/>
              </w:rPr>
              <w:instrText xml:space="preserve"> = 2 \* GB2 </w:instrText>
            </w:r>
            <w:r>
              <w:rPr>
                <w:rFonts w:hAnsi="宋体"/>
                <w:color w:val="auto"/>
                <w:kern w:val="0"/>
                <w:sz w:val="24"/>
              </w:rPr>
              <w:fldChar w:fldCharType="separate"/>
            </w:r>
            <w:r>
              <w:rPr>
                <w:rFonts w:hAnsi="宋体"/>
                <w:color w:val="auto"/>
                <w:kern w:val="0"/>
                <w:sz w:val="24"/>
              </w:rPr>
              <w:t>⑵</w:t>
            </w:r>
            <w:r>
              <w:rPr>
                <w:rFonts w:hAnsi="宋体"/>
                <w:color w:val="auto"/>
                <w:kern w:val="0"/>
                <w:sz w:val="24"/>
              </w:rPr>
              <w:fldChar w:fldCharType="end"/>
            </w:r>
            <w:r>
              <w:rPr>
                <w:rFonts w:hAnsi="宋体"/>
                <w:color w:val="auto"/>
                <w:kern w:val="0"/>
                <w:sz w:val="24"/>
              </w:rPr>
              <w:t>环境质量底线</w:t>
            </w:r>
          </w:p>
          <w:p>
            <w:pPr>
              <w:pStyle w:val="36"/>
              <w:snapToGrid w:val="0"/>
              <w:ind w:firstLine="482" w:firstLineChars="200"/>
              <w:rPr>
                <w:rFonts w:ascii="Times New Roman" w:cs="Times New Roman"/>
                <w:color w:val="auto"/>
                <w:szCs w:val="24"/>
              </w:rPr>
            </w:pPr>
            <w:r>
              <w:rPr>
                <w:rFonts w:hint="eastAsia" w:hAnsi="宋体"/>
                <w:b/>
                <w:bCs/>
                <w:color w:val="auto"/>
                <w:szCs w:val="24"/>
              </w:rPr>
              <w:t>环境空气</w:t>
            </w:r>
            <w:r>
              <w:rPr>
                <w:rFonts w:hint="eastAsia" w:hAnsi="宋体"/>
                <w:color w:val="auto"/>
                <w:szCs w:val="24"/>
              </w:rPr>
              <w:t>：</w:t>
            </w:r>
            <w:r>
              <w:rPr>
                <w:rFonts w:hAnsi="宋体"/>
                <w:color w:val="auto"/>
                <w:szCs w:val="24"/>
              </w:rPr>
              <w:t>项目选址区域为</w:t>
            </w:r>
            <w:r>
              <w:rPr>
                <w:rFonts w:ascii="Times New Roman" w:cs="Times New Roman"/>
                <w:color w:val="auto"/>
                <w:szCs w:val="24"/>
              </w:rPr>
              <w:t>环境空气功能区二类区，</w:t>
            </w:r>
            <w:r>
              <w:rPr>
                <w:rFonts w:hint="eastAsia" w:cs="Times New Roman"/>
                <w:color w:val="auto"/>
                <w:szCs w:val="24"/>
              </w:rPr>
              <w:t>基本</w:t>
            </w:r>
            <w:r>
              <w:rPr>
                <w:rFonts w:hint="eastAsia" w:ascii="Times New Roman" w:cs="Times New Roman"/>
                <w:color w:val="auto"/>
                <w:szCs w:val="24"/>
              </w:rPr>
              <w:t>因子</w:t>
            </w:r>
            <w:r>
              <w:rPr>
                <w:rFonts w:ascii="Times New Roman" w:cs="Times New Roman"/>
                <w:color w:val="auto"/>
                <w:szCs w:val="24"/>
              </w:rPr>
              <w:t>执行《环境空气质量标准（GB3095-2012）》二级标准。</w:t>
            </w:r>
          </w:p>
          <w:p>
            <w:pPr>
              <w:snapToGrid w:val="0"/>
              <w:spacing w:line="360" w:lineRule="auto"/>
              <w:ind w:firstLine="480" w:firstLineChars="200"/>
              <w:rPr>
                <w:rFonts w:hint="eastAsia" w:eastAsia="宋体"/>
                <w:color w:val="auto"/>
                <w:sz w:val="24"/>
                <w:highlight w:val="yellow"/>
                <w:lang w:eastAsia="zh-CN"/>
              </w:rPr>
            </w:pPr>
            <w:r>
              <w:rPr>
                <w:color w:val="auto"/>
                <w:sz w:val="24"/>
              </w:rPr>
              <w:t>根据环境空气质量达标区判定结果，项目所在地为环境空气质量达标区，说明环境空气质量现状较好</w:t>
            </w:r>
            <w:r>
              <w:rPr>
                <w:rFonts w:hint="eastAsia"/>
                <w:color w:val="auto"/>
                <w:sz w:val="24"/>
                <w:lang w:eastAsia="zh-CN"/>
              </w:rPr>
              <w:t>。</w:t>
            </w:r>
          </w:p>
          <w:p>
            <w:pPr>
              <w:snapToGrid w:val="0"/>
              <w:spacing w:line="360" w:lineRule="auto"/>
              <w:ind w:firstLine="480" w:firstLineChars="200"/>
              <w:rPr>
                <w:rFonts w:ascii="宋体"/>
                <w:color w:val="auto"/>
                <w:sz w:val="24"/>
                <w:szCs w:val="20"/>
              </w:rPr>
            </w:pPr>
            <w:r>
              <w:rPr>
                <w:rFonts w:hint="eastAsia"/>
                <w:color w:val="auto"/>
                <w:sz w:val="24"/>
                <w:highlight w:val="none"/>
              </w:rPr>
              <w:t>本项目运营过程中废气污染物主要为锅炉烟气，本项目燃气锅炉</w:t>
            </w:r>
            <w:r>
              <w:rPr>
                <w:rFonts w:hint="eastAsia"/>
                <w:color w:val="auto"/>
                <w:sz w:val="24"/>
                <w:highlight w:val="none"/>
                <w:lang w:val="en-US" w:eastAsia="zh-CN"/>
              </w:rPr>
              <w:t>配套</w:t>
            </w:r>
            <w:r>
              <w:rPr>
                <w:rFonts w:hint="eastAsia"/>
                <w:color w:val="auto"/>
                <w:sz w:val="24"/>
                <w:highlight w:val="none"/>
              </w:rPr>
              <w:t>低氮</w:t>
            </w:r>
            <w:r>
              <w:rPr>
                <w:rFonts w:hint="eastAsia"/>
                <w:color w:val="auto"/>
                <w:sz w:val="24"/>
                <w:highlight w:val="none"/>
                <w:lang w:val="en-US" w:eastAsia="zh-CN"/>
              </w:rPr>
              <w:t>燃烧器</w:t>
            </w:r>
            <w:r>
              <w:rPr>
                <w:rFonts w:hint="eastAsia"/>
                <w:color w:val="auto"/>
                <w:sz w:val="24"/>
                <w:highlight w:val="none"/>
              </w:rPr>
              <w:t>，燃料使用天然气，锅炉烟气</w:t>
            </w:r>
            <w:r>
              <w:rPr>
                <w:rFonts w:hint="eastAsia"/>
                <w:color w:val="auto"/>
                <w:sz w:val="24"/>
                <w:highlight w:val="none"/>
                <w:lang w:val="en-US" w:eastAsia="zh-CN"/>
              </w:rPr>
              <w:t>排放</w:t>
            </w:r>
            <w:r>
              <w:rPr>
                <w:rFonts w:hint="eastAsia"/>
                <w:color w:val="auto"/>
                <w:sz w:val="24"/>
                <w:highlight w:val="none"/>
              </w:rPr>
              <w:t>满足《锅炉大气污染物排放标准》（GB13271-2014）新建燃气锅炉限值要求，不会对周边环境空气造成不利影响</w:t>
            </w:r>
            <w:r>
              <w:rPr>
                <w:rFonts w:hint="eastAsia"/>
                <w:color w:val="auto"/>
                <w:sz w:val="24"/>
                <w:highlight w:val="none"/>
                <w:lang w:eastAsia="zh-CN"/>
              </w:rPr>
              <w:t>，</w:t>
            </w:r>
            <w:r>
              <w:rPr>
                <w:rFonts w:hint="eastAsia"/>
                <w:color w:val="auto"/>
                <w:sz w:val="24"/>
                <w:highlight w:val="none"/>
                <w:lang w:val="en-US" w:eastAsia="zh-CN"/>
              </w:rPr>
              <w:t>发酵废气、面粉投加粉尘产生量较少，经生产车间</w:t>
            </w:r>
            <w:r>
              <w:rPr>
                <w:rFonts w:hint="eastAsia"/>
                <w:b w:val="0"/>
                <w:bCs w:val="0"/>
                <w:color w:val="auto"/>
                <w:sz w:val="24"/>
                <w:highlight w:val="none"/>
                <w:lang w:val="en-US" w:eastAsia="zh-CN"/>
              </w:rPr>
              <w:t>空气净化系统</w:t>
            </w:r>
            <w:r>
              <w:rPr>
                <w:rFonts w:hint="eastAsia"/>
                <w:color w:val="auto"/>
                <w:sz w:val="24"/>
                <w:highlight w:val="none"/>
                <w:lang w:val="en-US" w:eastAsia="zh-CN"/>
              </w:rPr>
              <w:t>以无组织形式排放</w:t>
            </w:r>
            <w:r>
              <w:rPr>
                <w:rFonts w:hint="eastAsia"/>
                <w:color w:val="auto"/>
                <w:sz w:val="24"/>
                <w:highlight w:val="none"/>
                <w:lang w:val="en-US" w:eastAsia="zh-CN"/>
              </w:rPr>
              <w:t>，污水处理站为地埋一体式设备，运行期间喷洒生物除臭剂，</w:t>
            </w:r>
            <w:r>
              <w:rPr>
                <w:rFonts w:hint="eastAsia" w:ascii="宋体"/>
                <w:color w:val="auto"/>
                <w:sz w:val="24"/>
                <w:szCs w:val="20"/>
              </w:rPr>
              <w:t>经采取上述措施后对大气污染物影响较小。综合而言</w:t>
            </w:r>
            <w:r>
              <w:rPr>
                <w:rFonts w:ascii="宋体"/>
                <w:color w:val="auto"/>
                <w:sz w:val="24"/>
                <w:szCs w:val="20"/>
              </w:rPr>
              <w:t>工程建设不会突破</w:t>
            </w:r>
            <w:r>
              <w:rPr>
                <w:rFonts w:hint="eastAsia" w:ascii="宋体"/>
                <w:color w:val="auto"/>
                <w:sz w:val="24"/>
                <w:szCs w:val="20"/>
                <w:lang w:val="en-US" w:eastAsia="zh-CN"/>
              </w:rPr>
              <w:t>和政县</w:t>
            </w:r>
            <w:r>
              <w:rPr>
                <w:rFonts w:ascii="宋体"/>
                <w:color w:val="auto"/>
                <w:sz w:val="24"/>
                <w:szCs w:val="20"/>
              </w:rPr>
              <w:t>大气环境质量底线要求。</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rPr>
              <w:t>地表水环境：项目</w:t>
            </w:r>
            <w:r>
              <w:rPr>
                <w:rFonts w:hint="default" w:ascii="Times New Roman" w:hAnsi="Times New Roman" w:eastAsia="宋体" w:cs="Times New Roman"/>
                <w:color w:val="auto"/>
                <w:sz w:val="24"/>
                <w:szCs w:val="24"/>
                <w:lang w:val="en-US" w:eastAsia="zh-CN"/>
              </w:rPr>
              <w:t>东侧紧邻</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z w:val="24"/>
                <w:szCs w:val="24"/>
                <w:lang w:val="en-US" w:eastAsia="zh-CN"/>
              </w:rPr>
              <w:t>小南岔河</w:t>
            </w:r>
            <w:r>
              <w:rPr>
                <w:rFonts w:hint="default" w:ascii="Times New Roman" w:hAnsi="Times New Roman" w:eastAsia="宋体" w:cs="Times New Roman"/>
                <w:color w:val="auto"/>
                <w:sz w:val="24"/>
                <w:szCs w:val="24"/>
              </w:rPr>
              <w:t>，</w:t>
            </w:r>
            <w:r>
              <w:rPr>
                <w:rFonts w:hint="default" w:ascii="Times New Roman" w:hAnsi="Times New Roman" w:eastAsia="宋体" w:cs="Times New Roman"/>
                <w:snapToGrid w:val="0"/>
                <w:color w:val="auto"/>
                <w:sz w:val="24"/>
                <w:szCs w:val="24"/>
              </w:rPr>
              <w:t>为牙塘河</w:t>
            </w:r>
            <w:r>
              <w:rPr>
                <w:rFonts w:hint="eastAsia" w:cs="Times New Roman"/>
                <w:snapToGrid w:val="0"/>
                <w:color w:val="auto"/>
                <w:sz w:val="24"/>
                <w:szCs w:val="24"/>
                <w:lang w:val="en-US" w:eastAsia="zh-CN"/>
              </w:rPr>
              <w:t>的</w:t>
            </w:r>
            <w:r>
              <w:rPr>
                <w:rFonts w:hint="default" w:ascii="Times New Roman" w:hAnsi="Times New Roman" w:eastAsia="宋体" w:cs="Times New Roman"/>
                <w:snapToGrid w:val="0"/>
                <w:color w:val="auto"/>
                <w:sz w:val="24"/>
                <w:szCs w:val="24"/>
              </w:rPr>
              <w:t>支沟</w:t>
            </w:r>
            <w:r>
              <w:rPr>
                <w:rFonts w:hint="default" w:ascii="Times New Roman" w:hAnsi="Times New Roman" w:eastAsia="宋体" w:cs="Times New Roman"/>
                <w:color w:val="auto"/>
                <w:sz w:val="24"/>
                <w:szCs w:val="24"/>
              </w:rPr>
              <w:t>，牙塘河是广通河一级支流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广通河为黄河二级支流，</w:t>
            </w:r>
            <w:r>
              <w:rPr>
                <w:rFonts w:hint="eastAsia" w:cs="Times New Roman"/>
                <w:color w:val="auto"/>
                <w:sz w:val="24"/>
                <w:szCs w:val="24"/>
                <w:lang w:val="en-US" w:eastAsia="zh-CN"/>
              </w:rPr>
              <w:t>根据</w:t>
            </w:r>
            <w:r>
              <w:rPr>
                <w:rFonts w:hint="eastAsia" w:ascii="Times New Roman" w:hAnsi="Times New Roman" w:eastAsia="宋体" w:cs="Times New Roman"/>
                <w:color w:val="auto"/>
                <w:sz w:val="24"/>
              </w:rPr>
              <w:t>临夏州生态环境局公布《临夏州</w:t>
            </w:r>
            <w:r>
              <w:rPr>
                <w:rFonts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23</w:t>
            </w:r>
            <w:r>
              <w:rPr>
                <w:rFonts w:hint="eastAsia" w:ascii="Times New Roman" w:hAnsi="Times New Roman" w:eastAsia="宋体" w:cs="Times New Roman"/>
                <w:color w:val="auto"/>
                <w:sz w:val="24"/>
              </w:rPr>
              <w:t>年</w:t>
            </w:r>
            <w:r>
              <w:rPr>
                <w:rFonts w:ascii="Times New Roman" w:hAnsi="Times New Roman" w:eastAsia="宋体" w:cs="Times New Roman"/>
                <w:color w:val="auto"/>
                <w:sz w:val="24"/>
              </w:rPr>
              <w:t>1-12</w:t>
            </w:r>
            <w:r>
              <w:rPr>
                <w:rFonts w:hint="eastAsia" w:ascii="Times New Roman" w:hAnsi="Times New Roman" w:eastAsia="宋体" w:cs="Times New Roman"/>
                <w:color w:val="auto"/>
                <w:sz w:val="24"/>
              </w:rPr>
              <w:t>月水环境质量达标情况》监测数据。根据该数据，项目区广通河临夏州辖区省考断面虎家大桥、宏良大桥断面水质目标为Ⅲ类，实测两个断面</w:t>
            </w:r>
            <w:r>
              <w:rPr>
                <w:rFonts w:ascii="Times New Roman" w:hAnsi="Times New Roman" w:eastAsia="宋体" w:cs="Times New Roman"/>
                <w:color w:val="auto"/>
                <w:sz w:val="24"/>
              </w:rPr>
              <w:t>1-12</w:t>
            </w:r>
            <w:r>
              <w:rPr>
                <w:rFonts w:hint="eastAsia" w:ascii="Times New Roman" w:hAnsi="Times New Roman" w:eastAsia="宋体" w:cs="Times New Roman"/>
                <w:color w:val="auto"/>
                <w:sz w:val="24"/>
              </w:rPr>
              <w:t>月平均水质均为Ⅲ类</w:t>
            </w:r>
            <w:r>
              <w:rPr>
                <w:rFonts w:hint="eastAsia" w:cs="Times New Roman"/>
                <w:color w:val="auto"/>
                <w:sz w:val="24"/>
                <w:lang w:eastAsia="zh-CN"/>
              </w:rPr>
              <w:t>，</w:t>
            </w:r>
            <w:r>
              <w:rPr>
                <w:rFonts w:hint="eastAsia" w:cs="Times New Roman"/>
                <w:color w:val="auto"/>
                <w:sz w:val="24"/>
                <w:lang w:val="en-US" w:eastAsia="zh-CN"/>
              </w:rPr>
              <w:t>地表水质量较好。</w:t>
            </w:r>
          </w:p>
          <w:p>
            <w:pPr>
              <w:snapToGrid w:val="0"/>
              <w:spacing w:line="360" w:lineRule="auto"/>
              <w:ind w:firstLine="480" w:firstLineChars="200"/>
              <w:rPr>
                <w:rFonts w:ascii="Times New Roman" w:hAnsi="Times New Roman" w:cs="Times New Roman"/>
                <w:color w:val="auto"/>
                <w:kern w:val="0"/>
                <w:sz w:val="24"/>
              </w:rPr>
            </w:pPr>
            <w:r>
              <w:rPr>
                <w:rFonts w:hint="eastAsia" w:ascii="Times New Roman" w:hAnsi="Times New Roman" w:cs="Times New Roman"/>
                <w:color w:val="auto"/>
                <w:kern w:val="0"/>
                <w:sz w:val="24"/>
                <w:lang w:val="en-US" w:eastAsia="zh-CN"/>
              </w:rPr>
              <w:t>项目</w:t>
            </w:r>
            <w:r>
              <w:rPr>
                <w:rFonts w:ascii="Times New Roman" w:hAnsi="Times New Roman" w:cs="Times New Roman"/>
                <w:color w:val="auto"/>
                <w:kern w:val="0"/>
                <w:sz w:val="24"/>
              </w:rPr>
              <w:t>运营期</w:t>
            </w:r>
            <w:r>
              <w:rPr>
                <w:rFonts w:hint="eastAsia" w:ascii="Times New Roman" w:hAnsi="Times New Roman" w:cs="Times New Roman"/>
                <w:color w:val="auto"/>
                <w:kern w:val="0"/>
                <w:sz w:val="24"/>
                <w:lang w:val="en-US" w:eastAsia="zh-CN"/>
              </w:rPr>
              <w:t>食堂污水经油水分离器处理后同生活污水一同排入化粪池中进行处理后排入园区污水管网。锅炉排污水及纯水设备浓水排入降温沉淀池中，处理</w:t>
            </w:r>
            <w:r>
              <w:rPr>
                <w:rFonts w:hint="eastAsia" w:cs="Times New Roman"/>
                <w:color w:val="auto"/>
                <w:kern w:val="0"/>
                <w:sz w:val="24"/>
                <w:lang w:val="en-US" w:eastAsia="zh-CN"/>
              </w:rPr>
              <w:t>后排入园区雨水管网；</w:t>
            </w:r>
            <w:r>
              <w:rPr>
                <w:rFonts w:hint="eastAsia" w:cs="Times New Roman"/>
                <w:color w:val="auto"/>
                <w:kern w:val="0"/>
                <w:sz w:val="24"/>
                <w:lang w:val="en-US" w:eastAsia="zh-CN"/>
              </w:rPr>
              <w:t>生产</w:t>
            </w:r>
            <w:r>
              <w:rPr>
                <w:rFonts w:hint="eastAsia" w:ascii="Times New Roman" w:hAnsi="Times New Roman" w:cs="Times New Roman"/>
                <w:color w:val="auto"/>
                <w:kern w:val="0"/>
                <w:sz w:val="24"/>
                <w:lang w:val="en-US" w:eastAsia="zh-CN"/>
              </w:rPr>
              <w:t>废水经</w:t>
            </w:r>
            <w:r>
              <w:rPr>
                <w:rFonts w:hint="eastAsia" w:cs="Times New Roman"/>
                <w:color w:val="auto"/>
                <w:kern w:val="0"/>
                <w:sz w:val="24"/>
                <w:lang w:val="en-US" w:eastAsia="zh-CN"/>
              </w:rPr>
              <w:t>地埋一体式污水处理设备</w:t>
            </w:r>
            <w:r>
              <w:rPr>
                <w:rFonts w:hint="eastAsia" w:ascii="Times New Roman" w:hAnsi="Times New Roman" w:cs="Times New Roman"/>
                <w:color w:val="auto"/>
                <w:kern w:val="0"/>
                <w:sz w:val="24"/>
                <w:lang w:val="en-US" w:eastAsia="zh-CN"/>
              </w:rPr>
              <w:t>处理后排入园区污水管网</w:t>
            </w:r>
            <w:r>
              <w:rPr>
                <w:rFonts w:ascii="Times New Roman" w:hAnsi="Times New Roman" w:cs="Times New Roman"/>
                <w:color w:val="auto"/>
                <w:kern w:val="0"/>
                <w:sz w:val="24"/>
              </w:rPr>
              <w:t>。因此项目的运行不会对地表水体产生影响，</w:t>
            </w:r>
            <w:r>
              <w:rPr>
                <w:rFonts w:hint="eastAsia" w:ascii="Times New Roman" w:hAnsi="Times New Roman" w:cs="Times New Roman"/>
                <w:color w:val="auto"/>
                <w:kern w:val="0"/>
                <w:sz w:val="24"/>
                <w:lang w:val="en-US" w:eastAsia="zh-CN"/>
              </w:rPr>
              <w:t>项目</w:t>
            </w:r>
            <w:r>
              <w:rPr>
                <w:rFonts w:ascii="Times New Roman" w:hAnsi="Times New Roman" w:cs="Times New Roman"/>
                <w:color w:val="auto"/>
                <w:kern w:val="0"/>
                <w:sz w:val="24"/>
              </w:rPr>
              <w:t>建设不会突破水环境质量底线。</w:t>
            </w:r>
          </w:p>
          <w:p>
            <w:pPr>
              <w:snapToGrid w:val="0"/>
              <w:spacing w:line="360" w:lineRule="auto"/>
              <w:ind w:firstLine="480" w:firstLineChars="200"/>
              <w:rPr>
                <w:color w:val="auto"/>
                <w:sz w:val="24"/>
              </w:rPr>
            </w:pPr>
            <w:r>
              <w:rPr>
                <w:rFonts w:ascii="Times New Roman" w:hAnsi="Times New Roman" w:cs="Times New Roman"/>
                <w:color w:val="auto"/>
                <w:kern w:val="0"/>
                <w:sz w:val="24"/>
              </w:rPr>
              <w:t>声环境：</w:t>
            </w:r>
            <w:r>
              <w:rPr>
                <w:rFonts w:hint="eastAsia" w:cs="Times New Roman"/>
                <w:color w:val="auto"/>
                <w:kern w:val="0"/>
                <w:sz w:val="24"/>
                <w:lang w:val="en-US" w:eastAsia="zh-CN"/>
              </w:rPr>
              <w:t>项目所在区无声功能区划，</w:t>
            </w:r>
            <w:r>
              <w:rPr>
                <w:rFonts w:hint="default" w:ascii="Times New Roman" w:hAnsi="Times New Roman" w:eastAsia="宋体" w:cs="Times New Roman"/>
                <w:color w:val="auto"/>
                <w:kern w:val="0"/>
                <w:sz w:val="24"/>
                <w:szCs w:val="24"/>
                <w:highlight w:val="none"/>
              </w:rPr>
              <w:t>根据《声环境功能区划分技术规范》(GB/T 15190-2014)，项目属于以工业生产、仓储物流为主要功能，需要防止工业噪声对周围环境产生严重影响的区域</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因此执行</w:t>
            </w:r>
            <w:r>
              <w:rPr>
                <w:rFonts w:hint="eastAsia"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类区标准</w:t>
            </w:r>
            <w:r>
              <w:rPr>
                <w:rFonts w:hint="eastAsia" w:ascii="Times New Roman" w:hAnsi="Times New Roman" w:eastAsia="宋体" w:cs="Times New Roman"/>
                <w:color w:val="auto"/>
                <w:kern w:val="0"/>
                <w:sz w:val="24"/>
                <w:szCs w:val="24"/>
                <w:highlight w:val="none"/>
                <w:lang w:eastAsia="zh-CN"/>
              </w:rPr>
              <w:t>，</w:t>
            </w:r>
            <w:r>
              <w:rPr>
                <w:rFonts w:hint="eastAsia" w:cs="Times New Roman"/>
                <w:color w:val="auto"/>
                <w:kern w:val="0"/>
                <w:sz w:val="24"/>
                <w:lang w:val="en-US" w:eastAsia="zh-CN"/>
              </w:rPr>
              <w:t>同时</w:t>
            </w:r>
            <w:r>
              <w:rPr>
                <w:rFonts w:ascii="Times New Roman" w:hAnsi="Times New Roman" w:cs="Times New Roman"/>
                <w:color w:val="auto"/>
                <w:kern w:val="0"/>
                <w:sz w:val="24"/>
              </w:rPr>
              <w:t>根据现场调查，厂区50m范围内无声环境保护目标。产噪设备经选用低噪声、安装减震基座</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锅炉房使用隔声门窗等措施</w:t>
            </w:r>
            <w:r>
              <w:rPr>
                <w:rFonts w:ascii="Times New Roman" w:hAnsi="Times New Roman" w:cs="Times New Roman"/>
                <w:color w:val="auto"/>
                <w:kern w:val="0"/>
                <w:sz w:val="24"/>
              </w:rPr>
              <w:t>后可满足《工业企业厂界环境噪声排放标准》（GB12348—2008）中</w:t>
            </w:r>
            <w:r>
              <w:rPr>
                <w:rFonts w:hint="eastAsia" w:ascii="Times New Roman" w:hAnsi="Times New Roman" w:cs="Times New Roman"/>
                <w:color w:val="auto"/>
                <w:kern w:val="0"/>
                <w:sz w:val="24"/>
                <w:lang w:val="en-US" w:eastAsia="zh-CN"/>
              </w:rPr>
              <w:t>3</w:t>
            </w:r>
            <w:r>
              <w:rPr>
                <w:rFonts w:hint="eastAsia" w:ascii="Times New Roman" w:hAnsi="Times New Roman" w:cs="Times New Roman"/>
                <w:color w:val="auto"/>
                <w:kern w:val="0"/>
                <w:sz w:val="24"/>
              </w:rPr>
              <w:t>类</w:t>
            </w:r>
            <w:r>
              <w:rPr>
                <w:rFonts w:ascii="Times New Roman" w:hAnsi="Times New Roman" w:cs="Times New Roman"/>
                <w:color w:val="auto"/>
                <w:kern w:val="0"/>
                <w:sz w:val="24"/>
              </w:rPr>
              <w:t>区标准，本项目建设运营不会改变项目所在区域的声环境</w:t>
            </w:r>
            <w:r>
              <w:rPr>
                <w:color w:val="auto"/>
                <w:sz w:val="24"/>
              </w:rPr>
              <w:t>功能，因此项目建设声环境质量是符合要求的。</w:t>
            </w:r>
          </w:p>
          <w:p>
            <w:pPr>
              <w:snapToGrid w:val="0"/>
              <w:spacing w:line="360" w:lineRule="auto"/>
              <w:ind w:firstLine="480" w:firstLineChars="200"/>
              <w:rPr>
                <w:color w:val="auto"/>
                <w:kern w:val="0"/>
                <w:sz w:val="24"/>
              </w:rPr>
            </w:pPr>
            <w:r>
              <w:rPr>
                <w:color w:val="auto"/>
                <w:kern w:val="0"/>
                <w:sz w:val="24"/>
              </w:rPr>
              <w:fldChar w:fldCharType="begin"/>
            </w:r>
            <w:r>
              <w:rPr>
                <w:color w:val="auto"/>
                <w:kern w:val="0"/>
                <w:sz w:val="24"/>
              </w:rPr>
              <w:instrText xml:space="preserve"> = 3 \* GB2 </w:instrText>
            </w:r>
            <w:r>
              <w:rPr>
                <w:color w:val="auto"/>
                <w:kern w:val="0"/>
                <w:sz w:val="24"/>
              </w:rPr>
              <w:fldChar w:fldCharType="separate"/>
            </w:r>
            <w:r>
              <w:rPr>
                <w:color w:val="auto"/>
                <w:kern w:val="0"/>
                <w:sz w:val="24"/>
              </w:rPr>
              <w:t>⑶</w:t>
            </w:r>
            <w:r>
              <w:rPr>
                <w:color w:val="auto"/>
                <w:kern w:val="0"/>
                <w:sz w:val="24"/>
              </w:rPr>
              <w:fldChar w:fldCharType="end"/>
            </w:r>
            <w:r>
              <w:rPr>
                <w:color w:val="auto"/>
                <w:kern w:val="0"/>
                <w:sz w:val="24"/>
              </w:rPr>
              <w:t>资源利用上线</w:t>
            </w:r>
          </w:p>
          <w:p>
            <w:pPr>
              <w:autoSpaceDE w:val="0"/>
              <w:autoSpaceDN w:val="0"/>
              <w:adjustRightInd w:val="0"/>
              <w:snapToGrid w:val="0"/>
              <w:spacing w:line="360" w:lineRule="auto"/>
              <w:ind w:firstLine="480" w:firstLineChars="200"/>
              <w:rPr>
                <w:color w:val="auto"/>
                <w:sz w:val="24"/>
              </w:rPr>
            </w:pPr>
            <w:r>
              <w:rPr>
                <w:color w:val="auto"/>
                <w:sz w:val="24"/>
              </w:rPr>
              <w:t>本项目用水为自来水、电为市政电网，施工期</w:t>
            </w:r>
            <w:r>
              <w:rPr>
                <w:rFonts w:hint="eastAsia"/>
                <w:color w:val="auto"/>
                <w:sz w:val="24"/>
                <w:lang w:val="en-US" w:eastAsia="zh-CN"/>
              </w:rPr>
              <w:t>及运营期</w:t>
            </w:r>
            <w:r>
              <w:rPr>
                <w:color w:val="auto"/>
                <w:sz w:val="24"/>
              </w:rPr>
              <w:t>用水、用电，用量较少，且项目不占用永久基本农田及耕地，不会超过资源利用上线。</w:t>
            </w:r>
          </w:p>
          <w:p>
            <w:pPr>
              <w:autoSpaceDE w:val="0"/>
              <w:autoSpaceDN w:val="0"/>
              <w:adjustRightInd w:val="0"/>
              <w:snapToGrid w:val="0"/>
              <w:spacing w:line="360" w:lineRule="auto"/>
              <w:ind w:firstLine="480" w:firstLineChars="200"/>
              <w:jc w:val="left"/>
              <w:rPr>
                <w:color w:val="auto"/>
                <w:kern w:val="0"/>
                <w:sz w:val="24"/>
              </w:rPr>
            </w:pPr>
            <w:r>
              <w:rPr>
                <w:color w:val="auto"/>
                <w:kern w:val="0"/>
                <w:sz w:val="24"/>
              </w:rPr>
              <w:fldChar w:fldCharType="begin"/>
            </w:r>
            <w:r>
              <w:rPr>
                <w:color w:val="auto"/>
                <w:kern w:val="0"/>
                <w:sz w:val="24"/>
              </w:rPr>
              <w:instrText xml:space="preserve"> = 4 \* GB2 </w:instrText>
            </w:r>
            <w:r>
              <w:rPr>
                <w:color w:val="auto"/>
                <w:kern w:val="0"/>
                <w:sz w:val="24"/>
              </w:rPr>
              <w:fldChar w:fldCharType="separate"/>
            </w:r>
            <w:r>
              <w:rPr>
                <w:rFonts w:ascii="宋体" w:hAnsi="宋体"/>
                <w:color w:val="auto"/>
                <w:kern w:val="0"/>
                <w:sz w:val="24"/>
              </w:rPr>
              <w:t>⑷</w:t>
            </w:r>
            <w:r>
              <w:rPr>
                <w:color w:val="auto"/>
                <w:kern w:val="0"/>
                <w:sz w:val="24"/>
              </w:rPr>
              <w:fldChar w:fldCharType="end"/>
            </w:r>
            <w:r>
              <w:rPr>
                <w:rFonts w:hint="eastAsia"/>
                <w:color w:val="auto"/>
                <w:kern w:val="0"/>
                <w:sz w:val="24"/>
              </w:rPr>
              <w:t>生态</w:t>
            </w:r>
            <w:r>
              <w:rPr>
                <w:rFonts w:hAnsi="宋体"/>
                <w:color w:val="auto"/>
                <w:kern w:val="0"/>
                <w:sz w:val="24"/>
              </w:rPr>
              <w:t>环境准入清单</w:t>
            </w:r>
          </w:p>
          <w:p>
            <w:pPr>
              <w:autoSpaceDE w:val="0"/>
              <w:autoSpaceDN w:val="0"/>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项目建设符合产业政策要求，运营期</w:t>
            </w:r>
            <w:r>
              <w:rPr>
                <w:rFonts w:hint="eastAsia" w:ascii="Times New Roman" w:hAnsi="Times New Roman" w:cs="Times New Roman"/>
                <w:color w:val="auto"/>
                <w:sz w:val="24"/>
                <w:lang w:val="en-US" w:eastAsia="zh-CN"/>
              </w:rPr>
              <w:t>污染物均能达标排放</w:t>
            </w:r>
            <w:r>
              <w:rPr>
                <w:rFonts w:ascii="Times New Roman" w:hAnsi="Times New Roman" w:cs="Times New Roman"/>
                <w:color w:val="auto"/>
                <w:sz w:val="24"/>
              </w:rPr>
              <w:t>，本项目位于</w:t>
            </w:r>
            <w:r>
              <w:rPr>
                <w:rFonts w:hint="eastAsia" w:ascii="Times New Roman" w:hAnsi="Times New Roman" w:cs="Times New Roman"/>
                <w:color w:val="auto"/>
                <w:sz w:val="24"/>
                <w:lang w:val="en-US" w:eastAsia="zh-CN"/>
              </w:rPr>
              <w:t>和政县重点</w:t>
            </w:r>
            <w:r>
              <w:rPr>
                <w:rFonts w:ascii="Times New Roman" w:hAnsi="Times New Roman" w:cs="Times New Roman"/>
                <w:color w:val="auto"/>
                <w:sz w:val="24"/>
              </w:rPr>
              <w:t>管控单元，项目不占用生态红线。与</w:t>
            </w:r>
            <w:r>
              <w:rPr>
                <w:rFonts w:hint="eastAsia" w:ascii="Times New Roman" w:hAnsi="Times New Roman" w:cs="Times New Roman"/>
                <w:color w:val="auto"/>
                <w:sz w:val="24"/>
              </w:rPr>
              <w:t>《甘肃省生态环境厅关于实施</w:t>
            </w:r>
            <w:r>
              <w:rPr>
                <w:rFonts w:hint="eastAsia" w:cs="Times New Roman"/>
                <w:color w:val="auto"/>
                <w:sz w:val="24"/>
                <w:lang w:eastAsia="zh-CN"/>
              </w:rPr>
              <w:t>“</w:t>
            </w:r>
            <w:r>
              <w:rPr>
                <w:rFonts w:hint="eastAsia" w:ascii="Times New Roman" w:hAnsi="Times New Roman" w:cs="Times New Roman"/>
                <w:color w:val="auto"/>
                <w:sz w:val="24"/>
              </w:rPr>
              <w:t>三线一单</w:t>
            </w:r>
            <w:r>
              <w:rPr>
                <w:rFonts w:hint="eastAsia" w:cs="Times New Roman"/>
                <w:color w:val="auto"/>
                <w:sz w:val="24"/>
                <w:lang w:eastAsia="zh-CN"/>
              </w:rPr>
              <w:t>”</w:t>
            </w:r>
            <w:r>
              <w:rPr>
                <w:rFonts w:hint="eastAsia" w:ascii="Times New Roman" w:hAnsi="Times New Roman" w:cs="Times New Roman"/>
                <w:color w:val="auto"/>
                <w:sz w:val="24"/>
              </w:rPr>
              <w:t>生态环境分区管控动态更新成果的通知》（甘环发</w:t>
            </w:r>
            <w:r>
              <w:rPr>
                <w:rFonts w:hint="eastAsia" w:cs="Times New Roman"/>
                <w:color w:val="auto"/>
                <w:sz w:val="24"/>
                <w:lang w:val="en-US" w:eastAsia="zh-CN"/>
              </w:rPr>
              <w:t>[</w:t>
            </w:r>
            <w:r>
              <w:rPr>
                <w:rFonts w:hint="eastAsia" w:ascii="Times New Roman" w:hAnsi="Times New Roman" w:cs="Times New Roman"/>
                <w:color w:val="auto"/>
                <w:sz w:val="24"/>
              </w:rPr>
              <w:t>2024</w:t>
            </w:r>
            <w:r>
              <w:rPr>
                <w:rFonts w:hint="eastAsia" w:cs="Times New Roman"/>
                <w:color w:val="auto"/>
                <w:sz w:val="24"/>
                <w:lang w:val="en-US" w:eastAsia="zh-CN"/>
              </w:rPr>
              <w:t>]</w:t>
            </w:r>
            <w:r>
              <w:rPr>
                <w:rFonts w:hint="eastAsia" w:ascii="Times New Roman" w:hAnsi="Times New Roman" w:cs="Times New Roman"/>
                <w:color w:val="auto"/>
                <w:sz w:val="24"/>
              </w:rPr>
              <w:t>18号）</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临夏州生态环境局关于实施</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三线一单</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生态环境分区管控动态更新成果的通知</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（临州环发</w:t>
            </w:r>
            <w:r>
              <w:rPr>
                <w:rFonts w:hint="eastAsia" w:cs="Times New Roman"/>
                <w:color w:val="auto"/>
                <w:sz w:val="24"/>
                <w:lang w:val="en-US" w:eastAsia="zh-CN"/>
              </w:rPr>
              <w:t>[</w:t>
            </w:r>
            <w:r>
              <w:rPr>
                <w:rFonts w:hint="eastAsia" w:ascii="Times New Roman" w:hAnsi="Times New Roman" w:cs="Times New Roman"/>
                <w:color w:val="auto"/>
                <w:sz w:val="24"/>
              </w:rPr>
              <w:t>2024</w:t>
            </w:r>
            <w:r>
              <w:rPr>
                <w:rFonts w:hint="eastAsia" w:cs="Times New Roman"/>
                <w:color w:val="auto"/>
                <w:sz w:val="24"/>
                <w:lang w:val="en-US" w:eastAsia="zh-CN"/>
              </w:rPr>
              <w:t>]</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0</w:t>
            </w:r>
            <w:r>
              <w:rPr>
                <w:rFonts w:hint="eastAsia" w:ascii="Times New Roman" w:hAnsi="Times New Roman" w:cs="Times New Roman"/>
                <w:color w:val="auto"/>
                <w:sz w:val="24"/>
              </w:rPr>
              <w:t>47号）</w:t>
            </w:r>
            <w:r>
              <w:rPr>
                <w:rFonts w:ascii="Times New Roman" w:hAnsi="Times New Roman" w:cs="Times New Roman"/>
                <w:color w:val="auto"/>
                <w:sz w:val="24"/>
              </w:rPr>
              <w:t>的符合性分析如下：</w:t>
            </w:r>
          </w:p>
          <w:p>
            <w:pPr>
              <w:autoSpaceDE w:val="0"/>
              <w:autoSpaceDN w:val="0"/>
              <w:adjustRightInd w:val="0"/>
              <w:snapToGrid w:val="0"/>
              <w:spacing w:line="360" w:lineRule="auto"/>
              <w:jc w:val="center"/>
              <w:rPr>
                <w:b/>
                <w:bCs/>
                <w:color w:val="auto"/>
                <w:kern w:val="0"/>
                <w:sz w:val="24"/>
              </w:rPr>
            </w:pPr>
            <w:r>
              <w:rPr>
                <w:b/>
                <w:bCs/>
                <w:color w:val="auto"/>
                <w:kern w:val="0"/>
                <w:sz w:val="24"/>
              </w:rPr>
              <w:t>表1-</w:t>
            </w:r>
            <w:r>
              <w:rPr>
                <w:rFonts w:hint="eastAsia"/>
                <w:b/>
                <w:bCs/>
                <w:color w:val="auto"/>
                <w:kern w:val="0"/>
                <w:sz w:val="24"/>
              </w:rPr>
              <w:t>3</w:t>
            </w:r>
            <w:r>
              <w:rPr>
                <w:b/>
                <w:bCs/>
                <w:color w:val="auto"/>
                <w:kern w:val="0"/>
                <w:sz w:val="24"/>
              </w:rPr>
              <w:t xml:space="preserve">  生态环境准入清单符合性分析</w:t>
            </w:r>
          </w:p>
          <w:tbl>
            <w:tblPr>
              <w:tblStyle w:val="24"/>
              <w:tblW w:w="668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5"/>
              <w:gridCol w:w="645"/>
              <w:gridCol w:w="3240"/>
              <w:gridCol w:w="1761"/>
              <w:gridCol w:w="5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85"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名</w:t>
                  </w:r>
                  <w:r>
                    <w:rPr>
                      <w:rFonts w:hint="default" w:ascii="Times New Roman" w:hAnsi="Times New Roman" w:eastAsia="宋体" w:cs="Times New Roman"/>
                      <w:color w:val="auto"/>
                      <w:sz w:val="21"/>
                      <w:szCs w:val="21"/>
                      <w:highlight w:val="none"/>
                    </w:rPr>
                    <w:t>称</w:t>
                  </w:r>
                </w:p>
              </w:tc>
              <w:tc>
                <w:tcPr>
                  <w:tcW w:w="3885" w:type="dxa"/>
                  <w:gridSpan w:val="2"/>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具体要求</w:t>
                  </w:r>
                </w:p>
              </w:tc>
              <w:tc>
                <w:tcPr>
                  <w:tcW w:w="1761"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本项目情况</w:t>
                  </w:r>
                </w:p>
              </w:tc>
              <w:tc>
                <w:tcPr>
                  <w:tcW w:w="554"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8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甘肃省</w:t>
                  </w:r>
                  <w:r>
                    <w:rPr>
                      <w:rFonts w:hint="default" w:ascii="Times New Roman" w:hAnsi="Times New Roman" w:eastAsia="宋体" w:cs="Times New Roman"/>
                      <w:color w:val="auto"/>
                      <w:sz w:val="21"/>
                      <w:szCs w:val="21"/>
                      <w:highlight w:val="none"/>
                    </w:rPr>
                    <w:t>生态环境总体准入清单</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空</w:t>
                  </w:r>
                  <w:r>
                    <w:rPr>
                      <w:rFonts w:hint="default" w:ascii="Times New Roman" w:hAnsi="Times New Roman" w:eastAsia="宋体" w:cs="Times New Roman"/>
                      <w:color w:val="auto"/>
                      <w:sz w:val="21"/>
                      <w:szCs w:val="21"/>
                      <w:highlight w:val="none"/>
                    </w:rPr>
                    <w:t>间布局约束</w:t>
                  </w:r>
                </w:p>
              </w:tc>
              <w:tc>
                <w:tcPr>
                  <w:tcW w:w="3240"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left"/>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b w:val="0"/>
                      <w:bCs w:val="0"/>
                      <w:color w:val="auto"/>
                      <w:kern w:val="0"/>
                      <w:sz w:val="21"/>
                      <w:szCs w:val="21"/>
                      <w:highlight w:val="none"/>
                      <w:lang w:val="en-US" w:eastAsia="zh-CN" w:bidi="ar-SA"/>
                    </w:rPr>
                    <w:t>（1）各类工业园区（集聚区）：严格执行园区（集聚区）规划和规划环评要求，根据国家产业政策、园区（集聚区）主导产业定位、《甘肃省国家重点生态功能区产业准入负面清单（试行）》等，建立差别化的产业准入要求；根据园区发展定位、环境特征等强化环境准入约束。合理规划居住区与工业功能区，在居住区和工业区、工业企业之间设置防护绿地、生活绿地等隔离带。落实《减污降碳协同增效实施方案》《</w:t>
                  </w:r>
                  <w:r>
                    <w:rPr>
                      <w:rFonts w:hint="eastAsia" w:ascii="宋体" w:hAnsi="宋体" w:cs="宋体"/>
                      <w:b w:val="0"/>
                      <w:bCs w:val="0"/>
                      <w:color w:val="auto"/>
                      <w:kern w:val="0"/>
                      <w:sz w:val="21"/>
                      <w:szCs w:val="21"/>
                      <w:highlight w:val="none"/>
                      <w:lang w:val="en-US" w:eastAsia="zh-CN" w:bidi="ar-SA"/>
                    </w:rPr>
                    <w:t>“</w:t>
                  </w:r>
                  <w:r>
                    <w:rPr>
                      <w:rFonts w:hint="eastAsia" w:ascii="宋体" w:hAnsi="宋体" w:eastAsia="宋体" w:cs="宋体"/>
                      <w:b w:val="0"/>
                      <w:bCs w:val="0"/>
                      <w:color w:val="auto"/>
                      <w:kern w:val="0"/>
                      <w:sz w:val="21"/>
                      <w:szCs w:val="21"/>
                      <w:highlight w:val="none"/>
                      <w:lang w:val="en-US" w:eastAsia="zh-CN" w:bidi="ar-SA"/>
                    </w:rPr>
                    <w:t>十四五</w:t>
                  </w:r>
                  <w:r>
                    <w:rPr>
                      <w:rFonts w:hint="eastAsia" w:ascii="宋体" w:hAnsi="宋体" w:cs="宋体"/>
                      <w:b w:val="0"/>
                      <w:bCs w:val="0"/>
                      <w:color w:val="auto"/>
                      <w:kern w:val="0"/>
                      <w:sz w:val="21"/>
                      <w:szCs w:val="21"/>
                      <w:highlight w:val="none"/>
                      <w:lang w:val="en-US" w:eastAsia="zh-CN" w:bidi="ar-SA"/>
                    </w:rPr>
                    <w:t>”</w:t>
                  </w:r>
                  <w:r>
                    <w:rPr>
                      <w:rFonts w:hint="eastAsia" w:ascii="宋体" w:hAnsi="宋体" w:eastAsia="宋体" w:cs="宋体"/>
                      <w:b w:val="0"/>
                      <w:bCs w:val="0"/>
                      <w:color w:val="auto"/>
                      <w:kern w:val="0"/>
                      <w:sz w:val="21"/>
                      <w:szCs w:val="21"/>
                      <w:highlight w:val="none"/>
                      <w:lang w:val="en-US" w:eastAsia="zh-CN" w:bidi="ar-SA"/>
                    </w:rPr>
                    <w:t>节能减排综合工作方案》《2030年前碳达峰行动方案》《中共中央 国务院关于完整准确全面贯彻新发展理念做好碳达峰碳中和工作的意见》相关要求，坚决遏制高耗能、高排放、低水平项目盲目发展，高耗能、高排放项目审批要严格落实国家产业规划、产业政策、环评审批、取水许可审批、节能审查以及污染物区域削减替代等要求，采取先进适用的工艺技术和装备，提升高耗能项目能耗准入标准，能耗、物耗、水耗要达到清洁生产先进水平。严格落实《甘肃省环境保护条例》相关要求，新建化工石化、有色冶金、制浆造纸以及国家有明确要求的工业项目，应当进入工业园区或者工业集聚区。对污染物排放不符合要求的生物质锅炉及时进行整改或淘汰。</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符合园区产业规划，经核对，项目不属于和政循环经济产业园区产业准入负面清单中的产业；同时项目施工及运营期使用少量的水、电、天然气等资源，不会进行地下水的开采；项目锅炉使用清洁能源天然气，并配套低氮燃烧器，锅炉废气可达标排放</w:t>
                  </w:r>
                </w:p>
              </w:tc>
              <w:tc>
                <w:tcPr>
                  <w:tcW w:w="5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8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w:t>
                  </w:r>
                  <w:r>
                    <w:rPr>
                      <w:rFonts w:hint="default" w:ascii="Times New Roman" w:hAnsi="Times New Roman" w:eastAsia="宋体" w:cs="Times New Roman"/>
                      <w:color w:val="auto"/>
                      <w:sz w:val="21"/>
                      <w:szCs w:val="21"/>
                      <w:highlight w:val="none"/>
                    </w:rPr>
                    <w:t>染物排放管控</w:t>
                  </w:r>
                </w:p>
              </w:tc>
              <w:tc>
                <w:tcPr>
                  <w:tcW w:w="32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b w:val="0"/>
                      <w:bCs w:val="0"/>
                      <w:color w:val="auto"/>
                      <w:sz w:val="21"/>
                      <w:szCs w:val="21"/>
                      <w:highlight w:val="none"/>
                    </w:rPr>
                    <w:t>（1）各类工业园区（集聚区）：严格实行污染物总量控制制度，根据区域环境质量改善目标，削减污染物排放总量。严格执行环境影响评价制度，同步规划、建设和完善污水、垃圾集中处置等污染治理设施，工业园区（集聚区）内各企业工业废水必须经预处理达到集中处理要求，方可进入工业园区（集聚区）污水集中处理设施。加强土壤和地下水污染防治与修复，发现污染扩散的，有关责任主体要及时采取污染物隔离、阻断等环境风险管控措施。落实《关于加强高耗能、高排放建设项目生态环境源头防控的指导意见》加强规划约束、严格</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两高</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项目环评审批、推进</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两高</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行业减污降碳协同控制等要求，加强</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两高</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项目生态环境源头防控。严格执行《地下水管理条例》中污染防治相关要求。落实《甘肃省减污降碳协同增效实施方案》相关要求，依法实施</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双超双有高耗能</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企业强制性清洁生产审核。全省新建钢铁项目原则上要达到超低排放水平。新、改、扩建涉重金属重点行业建设项目遵循重金属污染物排放</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等量替换</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原则，在环境影响评价文件及其批复中明确重金属污染物排放总量及来源。有色金属行业、铅蓄电池制造业等涉重金属重点行业企业继续依法依规开展落后产能淘汰工作，有色金属采选冶炼、铅酸蓄电池制造、皮革、化学原料及化学制品生产、电镀等涉重金属重点行业企业生产工艺设备实施升级改造。</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项目为浆水及酸菜生产项目，不属于</w:t>
                  </w:r>
                  <w:r>
                    <w:rPr>
                      <w:rFonts w:hint="eastAsia" w:ascii="宋体" w:hAnsi="宋体" w:eastAsia="宋体" w:cs="宋体"/>
                      <w:b w:val="0"/>
                      <w:bCs w:val="0"/>
                      <w:color w:val="auto"/>
                      <w:sz w:val="21"/>
                      <w:szCs w:val="21"/>
                      <w:highlight w:val="none"/>
                    </w:rPr>
                    <w:t>两高</w:t>
                  </w:r>
                  <w:r>
                    <w:rPr>
                      <w:rFonts w:hint="eastAsia" w:ascii="宋体" w:hAnsi="宋体" w:cs="宋体"/>
                      <w:b w:val="0"/>
                      <w:bCs w:val="0"/>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根据</w:t>
                  </w: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项目排放污染物特征，</w:t>
                  </w:r>
                  <w:r>
                    <w:rPr>
                      <w:rFonts w:hint="default" w:ascii="Times New Roman" w:hAnsi="Times New Roman" w:eastAsia="宋体" w:cs="Times New Roman"/>
                      <w:color w:val="auto"/>
                      <w:sz w:val="21"/>
                      <w:szCs w:val="21"/>
                      <w:highlight w:val="none"/>
                      <w:lang w:val="en-US" w:eastAsia="zh-CN"/>
                    </w:rPr>
                    <w:t>结合固定污染源排污许可分类管理名录，本项目</w:t>
                  </w:r>
                  <w:r>
                    <w:rPr>
                      <w:rFonts w:hint="eastAsia" w:cs="Times New Roman"/>
                      <w:color w:val="auto"/>
                      <w:sz w:val="21"/>
                      <w:szCs w:val="21"/>
                      <w:highlight w:val="none"/>
                      <w:lang w:val="en-US" w:eastAsia="zh-CN"/>
                    </w:rPr>
                    <w:t>对氮氧化物实行总量控制。</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项目运营期</w:t>
                  </w:r>
                  <w:r>
                    <w:rPr>
                      <w:rFonts w:hint="eastAsia" w:cs="Times New Roman"/>
                      <w:color w:val="auto"/>
                      <w:sz w:val="21"/>
                      <w:szCs w:val="21"/>
                      <w:highlight w:val="none"/>
                      <w:lang w:val="en-US" w:eastAsia="zh-CN"/>
                    </w:rPr>
                    <w:t>锅炉配套安装低氮燃烧器，锅炉废气可达标排放；发酵废气、面粉投加粉尘产生量较少，经车间空气净化系统外排；</w:t>
                  </w:r>
                  <w:r>
                    <w:rPr>
                      <w:rFonts w:hint="eastAsia" w:cs="Times New Roman"/>
                      <w:color w:val="auto"/>
                      <w:sz w:val="21"/>
                      <w:szCs w:val="21"/>
                      <w:highlight w:val="none"/>
                      <w:lang w:val="en-US" w:eastAsia="zh-CN"/>
                    </w:rPr>
                    <w:t>污水处理恶臭气体经采用地埋一体式污水处理设备及喷洒生物除臭剂；食堂油烟经油烟净化器处理后经专属烟道排空；食堂污水经油水分离器处理后同生活污水一同排入园区污水管网，生产废水经地埋一体式污水处理站处理后排入园区污水管网，锅炉排污水及纯水制备浓水经降温沉淀池处理后排入园区雨水管网</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对周围环境影响较小。噪声通过封闭式厂房隔声、减振</w:t>
                  </w:r>
                  <w:r>
                    <w:rPr>
                      <w:rFonts w:hint="eastAsia" w:ascii="Times New Roman" w:hAnsi="Times New Roman" w:cs="Times New Roman"/>
                      <w:color w:val="auto"/>
                      <w:sz w:val="21"/>
                      <w:szCs w:val="21"/>
                      <w:highlight w:val="none"/>
                      <w:lang w:val="en-US" w:eastAsia="zh-CN"/>
                    </w:rPr>
                    <w:t>，锅炉房安装隔声门窗</w:t>
                  </w:r>
                  <w:r>
                    <w:rPr>
                      <w:rFonts w:hint="default" w:ascii="Times New Roman" w:hAnsi="Times New Roman" w:eastAsia="宋体" w:cs="Times New Roman"/>
                      <w:color w:val="auto"/>
                      <w:sz w:val="21"/>
                      <w:szCs w:val="21"/>
                      <w:highlight w:val="none"/>
                      <w:lang w:val="en-US" w:eastAsia="zh-CN"/>
                    </w:rPr>
                    <w:t>措施。且</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周边50m范围内无居民，产生噪声不会对周边环境造成影响。</w:t>
                  </w:r>
                </w:p>
              </w:tc>
              <w:tc>
                <w:tcPr>
                  <w:tcW w:w="5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8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w:t>
                  </w:r>
                  <w:r>
                    <w:rPr>
                      <w:rFonts w:hint="default" w:ascii="Times New Roman" w:hAnsi="Times New Roman" w:eastAsia="宋体" w:cs="Times New Roman"/>
                      <w:color w:val="auto"/>
                      <w:sz w:val="21"/>
                      <w:szCs w:val="21"/>
                      <w:highlight w:val="none"/>
                    </w:rPr>
                    <w:t>境风险防控</w:t>
                  </w:r>
                </w:p>
              </w:tc>
              <w:tc>
                <w:tcPr>
                  <w:tcW w:w="3240"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left"/>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b w:val="0"/>
                      <w:bCs w:val="0"/>
                      <w:color w:val="auto"/>
                      <w:kern w:val="0"/>
                      <w:sz w:val="21"/>
                      <w:szCs w:val="21"/>
                      <w:highlight w:val="none"/>
                      <w:lang w:val="en-US" w:eastAsia="zh-CN" w:bidi="ar-SA"/>
                    </w:rPr>
                    <w:t>各类工业园区（集聚区）：强化工业园区（集聚区）企业环境风险防范设施建设和正常运行监管，建立常态化的企业环境风险隐患排查整治机制，加强园区（集聚区）风险防控体系建设。严格落实《甘肃省环境保护条例》相关要求，企业事业单位和其他生产经营者应当定期排查环境安全隐患，开展环境风险评估，依法编制突发环境事件应急预案，报所在地生态环境主管部门和有关部门备案，并定期组织演练。</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项目为</w:t>
                  </w:r>
                  <w:r>
                    <w:rPr>
                      <w:rFonts w:hint="eastAsia" w:cs="Times New Roman"/>
                      <w:color w:val="auto"/>
                      <w:sz w:val="21"/>
                      <w:szCs w:val="21"/>
                      <w:highlight w:val="none"/>
                      <w:lang w:val="en-US" w:eastAsia="zh-CN"/>
                    </w:rPr>
                    <w:t>浆水及酸菜生产</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本项目不涉及重金属、化学品的排放，本项目主要环境风险物质</w:t>
                  </w:r>
                  <w:r>
                    <w:rPr>
                      <w:rFonts w:hint="eastAsia" w:cs="Times New Roman"/>
                      <w:color w:val="auto"/>
                      <w:sz w:val="21"/>
                      <w:szCs w:val="21"/>
                      <w:highlight w:val="none"/>
                      <w:lang w:val="en-US" w:eastAsia="zh-CN"/>
                    </w:rPr>
                    <w:t>乙醇</w:t>
                  </w:r>
                  <w:r>
                    <w:rPr>
                      <w:rFonts w:hint="eastAsia"/>
                      <w:color w:val="auto"/>
                      <w:highlight w:val="none"/>
                      <w:lang w:val="en-US" w:eastAsia="zh-CN"/>
                    </w:rPr>
                    <w:t>以及管道中少量天然气</w:t>
                  </w:r>
                  <w:r>
                    <w:rPr>
                      <w:rFonts w:hint="default" w:ascii="Times New Roman" w:hAnsi="Times New Roman" w:eastAsia="宋体" w:cs="Times New Roman"/>
                      <w:color w:val="auto"/>
                      <w:sz w:val="21"/>
                      <w:szCs w:val="21"/>
                      <w:highlight w:val="none"/>
                      <w:lang w:val="en-US" w:eastAsia="zh-CN"/>
                    </w:rPr>
                    <w:t>，最大存储量较小，</w:t>
                  </w:r>
                  <w:r>
                    <w:rPr>
                      <w:rFonts w:hint="eastAsia" w:cs="Times New Roman"/>
                      <w:color w:val="auto"/>
                      <w:sz w:val="21"/>
                      <w:szCs w:val="21"/>
                      <w:highlight w:val="none"/>
                      <w:lang w:val="en-US" w:eastAsia="zh-CN"/>
                    </w:rPr>
                    <w:t>Q值=</w:t>
                  </w:r>
                  <w:r>
                    <w:rPr>
                      <w:rFonts w:hint="default" w:ascii="Times New Roman" w:hAnsi="Times New Roman" w:eastAsia="宋体" w:cs="Times New Roman"/>
                      <w:color w:val="auto"/>
                      <w:kern w:val="0"/>
                      <w:sz w:val="24"/>
                      <w:szCs w:val="20"/>
                      <w:highlight w:val="none"/>
                      <w:lang w:val="en-US" w:eastAsia="zh-CN" w:bidi="ar-SA"/>
                    </w:rPr>
                    <w:t>0.0000</w:t>
                  </w:r>
                  <w:r>
                    <w:rPr>
                      <w:rFonts w:hint="eastAsia" w:cs="Times New Roman"/>
                      <w:color w:val="auto"/>
                      <w:kern w:val="0"/>
                      <w:sz w:val="24"/>
                      <w:szCs w:val="20"/>
                      <w:highlight w:val="none"/>
                      <w:lang w:val="en-US" w:eastAsia="zh-CN" w:bidi="ar-SA"/>
                    </w:rPr>
                    <w:t>428</w:t>
                  </w:r>
                  <w:r>
                    <w:rPr>
                      <w:rFonts w:hint="default" w:ascii="Times New Roman" w:hAnsi="Times New Roman" w:eastAsia="宋体" w:cs="Times New Roman"/>
                      <w:color w:val="auto"/>
                      <w:kern w:val="0"/>
                      <w:sz w:val="24"/>
                      <w:szCs w:val="20"/>
                      <w:highlight w:val="none"/>
                      <w:lang w:val="en-US" w:eastAsia="zh-CN" w:bidi="ar-SA"/>
                    </w:rPr>
                    <w:t>＜</w:t>
                  </w:r>
                  <w:r>
                    <w:rPr>
                      <w:rFonts w:hint="eastAsia" w:ascii="Times New Roman" w:hAnsi="Times New Roman" w:eastAsia="宋体" w:cs="Times New Roman"/>
                      <w:color w:val="auto"/>
                      <w:kern w:val="0"/>
                      <w:sz w:val="24"/>
                      <w:szCs w:val="20"/>
                      <w:highlight w:val="none"/>
                      <w:lang w:val="en-US" w:eastAsia="zh-CN" w:bidi="ar-SA"/>
                    </w:rPr>
                    <w:t>1，</w:t>
                  </w:r>
                  <w:r>
                    <w:rPr>
                      <w:rFonts w:hint="default" w:ascii="Times New Roman" w:hAnsi="Times New Roman" w:eastAsia="宋体" w:cs="Times New Roman"/>
                      <w:color w:val="auto"/>
                      <w:sz w:val="21"/>
                      <w:szCs w:val="21"/>
                      <w:highlight w:val="none"/>
                      <w:lang w:val="en-US" w:eastAsia="zh-CN"/>
                    </w:rPr>
                    <w:t>在落实本次评价要求的各项风险防范措施，可有效防范环境风险事件发生</w:t>
                  </w:r>
                </w:p>
              </w:tc>
              <w:tc>
                <w:tcPr>
                  <w:tcW w:w="5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8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资</w:t>
                  </w:r>
                  <w:r>
                    <w:rPr>
                      <w:rFonts w:hint="default" w:ascii="Times New Roman" w:hAnsi="Times New Roman" w:eastAsia="宋体" w:cs="Times New Roman"/>
                      <w:color w:val="auto"/>
                      <w:sz w:val="21"/>
                      <w:szCs w:val="21"/>
                      <w:highlight w:val="none"/>
                    </w:rPr>
                    <w:t>源利用效率</w:t>
                  </w:r>
                </w:p>
              </w:tc>
              <w:tc>
                <w:tcPr>
                  <w:tcW w:w="3240"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left"/>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b w:val="0"/>
                      <w:bCs w:val="0"/>
                      <w:color w:val="auto"/>
                      <w:kern w:val="0"/>
                      <w:sz w:val="21"/>
                      <w:szCs w:val="21"/>
                      <w:highlight w:val="none"/>
                      <w:lang w:val="en-US" w:eastAsia="zh-CN" w:bidi="ar-SA"/>
                    </w:rPr>
                    <w:t>各类工业园区（集聚区）：推进工业园区（集聚区）循环化改造，强化企业清洁生产改造。按照《关于推进污水资源化利用的指导意见》《关于进一步加强水资源节约集约利用的意见》相关要求，强化工业节水，坚持以水定产，强化企业和园区集约用水，实施节水改造。按照《关于加强高耗能、高排放建设项目生态环境源头防控的指导意见》相关要求，提高能源利用效率，推进</w:t>
                  </w:r>
                  <w:r>
                    <w:rPr>
                      <w:rFonts w:hint="eastAsia" w:ascii="宋体" w:hAnsi="宋体" w:cs="宋体"/>
                      <w:b w:val="0"/>
                      <w:bCs w:val="0"/>
                      <w:color w:val="auto"/>
                      <w:kern w:val="0"/>
                      <w:sz w:val="21"/>
                      <w:szCs w:val="21"/>
                      <w:highlight w:val="none"/>
                      <w:lang w:val="en-US" w:eastAsia="zh-CN" w:bidi="ar-SA"/>
                    </w:rPr>
                    <w:t>“</w:t>
                  </w:r>
                  <w:r>
                    <w:rPr>
                      <w:rFonts w:hint="eastAsia" w:ascii="宋体" w:hAnsi="宋体" w:eastAsia="宋体" w:cs="宋体"/>
                      <w:b w:val="0"/>
                      <w:bCs w:val="0"/>
                      <w:color w:val="auto"/>
                      <w:kern w:val="0"/>
                      <w:sz w:val="21"/>
                      <w:szCs w:val="21"/>
                      <w:highlight w:val="none"/>
                      <w:lang w:val="en-US" w:eastAsia="zh-CN" w:bidi="ar-SA"/>
                    </w:rPr>
                    <w:t>两高</w:t>
                  </w:r>
                  <w:r>
                    <w:rPr>
                      <w:rFonts w:hint="eastAsia" w:ascii="宋体" w:hAnsi="宋体" w:cs="宋体"/>
                      <w:b w:val="0"/>
                      <w:bCs w:val="0"/>
                      <w:color w:val="auto"/>
                      <w:kern w:val="0"/>
                      <w:sz w:val="21"/>
                      <w:szCs w:val="21"/>
                      <w:highlight w:val="none"/>
                      <w:lang w:val="en-US" w:eastAsia="zh-CN" w:bidi="ar-SA"/>
                    </w:rPr>
                    <w:t>”</w:t>
                  </w:r>
                  <w:r>
                    <w:rPr>
                      <w:rFonts w:hint="eastAsia" w:ascii="宋体" w:hAnsi="宋体" w:eastAsia="宋体" w:cs="宋体"/>
                      <w:b w:val="0"/>
                      <w:bCs w:val="0"/>
                      <w:color w:val="auto"/>
                      <w:kern w:val="0"/>
                      <w:sz w:val="21"/>
                      <w:szCs w:val="21"/>
                      <w:highlight w:val="none"/>
                      <w:lang w:val="en-US" w:eastAsia="zh-CN" w:bidi="ar-SA"/>
                    </w:rPr>
                    <w:t>行业减污降碳协同控制。严格执行行业能耗标准和国家产能置换政策要求，控制钢铁、建材、化工等耗煤行业耗煤量。</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本项目不属于两高项目，不消耗煤炭资源；</w:t>
                  </w:r>
                  <w:r>
                    <w:rPr>
                      <w:rFonts w:hint="default" w:ascii="Times New Roman" w:hAnsi="Times New Roman" w:eastAsia="宋体" w:cs="Times New Roman"/>
                      <w:color w:val="auto"/>
                      <w:sz w:val="21"/>
                      <w:szCs w:val="21"/>
                      <w:highlight w:val="none"/>
                      <w:lang w:val="en-US" w:eastAsia="zh-CN"/>
                    </w:rPr>
                    <w:t>项目生产</w:t>
                  </w:r>
                  <w:r>
                    <w:rPr>
                      <w:rFonts w:hint="eastAsia" w:eastAsia="宋体" w:cs="Times New Roman"/>
                      <w:color w:val="auto"/>
                      <w:sz w:val="21"/>
                      <w:szCs w:val="21"/>
                      <w:highlight w:val="none"/>
                      <w:lang w:val="en-US" w:eastAsia="zh-CN"/>
                    </w:rPr>
                    <w:t>使用自来水，用水量较小</w:t>
                  </w:r>
                  <w:r>
                    <w:rPr>
                      <w:rFonts w:hint="default" w:ascii="Times New Roman" w:hAnsi="Times New Roman" w:eastAsia="宋体" w:cs="Times New Roman"/>
                      <w:color w:val="auto"/>
                      <w:sz w:val="21"/>
                      <w:szCs w:val="21"/>
                      <w:highlight w:val="none"/>
                      <w:lang w:val="en-US" w:eastAsia="zh-CN"/>
                    </w:rPr>
                    <w:t>；不消耗开采地下水。</w:t>
                  </w:r>
                </w:p>
              </w:tc>
              <w:tc>
                <w:tcPr>
                  <w:tcW w:w="5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8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临夏州</w:t>
                  </w:r>
                  <w:r>
                    <w:rPr>
                      <w:rFonts w:hint="default" w:ascii="Times New Roman" w:hAnsi="Times New Roman" w:eastAsia="宋体" w:cs="Times New Roman"/>
                      <w:color w:val="auto"/>
                      <w:sz w:val="21"/>
                      <w:szCs w:val="21"/>
                      <w:highlight w:val="none"/>
                    </w:rPr>
                    <w:t>环境管控单元准入清单</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空间布局约束</w:t>
                  </w:r>
                </w:p>
              </w:tc>
              <w:tc>
                <w:tcPr>
                  <w:tcW w:w="3240" w:type="dxa"/>
                  <w:noWrap w:val="0"/>
                  <w:vAlign w:val="center"/>
                </w:tcPr>
                <w:p>
                  <w:pPr>
                    <w:numPr>
                      <w:ilvl w:val="0"/>
                      <w:numId w:val="0"/>
                    </w:numPr>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1、严把新建项目准入关，严格控制高耗能、高污染行业新增产能，遏制盲目重复建设水泥等</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两高</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行业项目。对产能严重过剩行业，必须严格执行国家产业政策，实施减量置换、上大压小，严禁新增产能。把主要大气污染物排放总量作为建设项目环境影响评价审批的重要条件，以总量定项目。持续加大燃煤小锅炉淘汰力度，县级及以上城市建成区基本淘汰每小时10蒸吨及以下燃煤锅炉及茶水炉、经营性炉灶、储粮烘干设备等燃煤设施，原则上不再新建每小时35蒸吨以下的燃煤锅炉，其他地区不再新建每小时10蒸吨以下的燃煤锅炉。严格控制新建燃煤锅炉，在集中供热管网覆盖区域内不再审批原煤散烧供热锅炉。取缔列入关停取缔类的</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散乱污</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企业，列入整合搬迁类的</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散乱污</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企业，按照产业发展规模化、现代化的原则，搬迁至工业园区并实施升级改造。</w:t>
                  </w:r>
                </w:p>
                <w:p>
                  <w:pPr>
                    <w:numPr>
                      <w:ilvl w:val="0"/>
                      <w:numId w:val="0"/>
                    </w:numPr>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2、禁止向水域和渠道倾倒畜禽粪污及其他废弃物，禁止利用渗井、渗坑排放畜禽粪污及其他废弃物，禁止在饮用水水源地周边及主要河道堆置和存放畜禽粪便</w:t>
                  </w:r>
                  <w:r>
                    <w:rPr>
                      <w:rFonts w:hint="default" w:ascii="Times New Roman" w:hAnsi="Times New Roman" w:eastAsia="宋体" w:cs="Times New Roman"/>
                      <w:color w:val="auto"/>
                      <w:sz w:val="21"/>
                      <w:szCs w:val="21"/>
                      <w:highlight w:val="none"/>
                    </w:rPr>
                    <w:t>。</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项目</w:t>
                  </w:r>
                  <w:r>
                    <w:rPr>
                      <w:rFonts w:hint="eastAsia" w:cs="Times New Roman"/>
                      <w:color w:val="auto"/>
                      <w:sz w:val="21"/>
                      <w:szCs w:val="21"/>
                      <w:highlight w:val="none"/>
                      <w:lang w:val="en-US" w:eastAsia="zh-CN"/>
                    </w:rPr>
                    <w:t>不属于</w:t>
                  </w:r>
                  <w:r>
                    <w:rPr>
                      <w:rFonts w:hint="default" w:ascii="Times New Roman" w:hAnsi="Times New Roman" w:eastAsia="宋体" w:cs="Times New Roman"/>
                      <w:color w:val="auto"/>
                      <w:sz w:val="21"/>
                      <w:szCs w:val="21"/>
                      <w:highlight w:val="none"/>
                      <w:lang w:val="en-US" w:eastAsia="zh-CN"/>
                    </w:rPr>
                    <w:t>高耗能、高污染行业</w:t>
                  </w:r>
                  <w:r>
                    <w:rPr>
                      <w:rFonts w:hint="eastAsia" w:ascii="Times New Roman" w:hAnsi="Times New Roman" w:cs="Times New Roman"/>
                      <w:color w:val="auto"/>
                      <w:sz w:val="21"/>
                      <w:szCs w:val="21"/>
                      <w:highlight w:val="none"/>
                      <w:lang w:val="en-US" w:eastAsia="zh-CN"/>
                    </w:rPr>
                    <w:t>；项目冬季取暖</w:t>
                  </w:r>
                  <w:r>
                    <w:rPr>
                      <w:rFonts w:hint="default" w:ascii="Times New Roman" w:hAnsi="Times New Roman" w:eastAsia="宋体" w:cs="Times New Roman"/>
                      <w:color w:val="auto"/>
                      <w:sz w:val="21"/>
                      <w:szCs w:val="21"/>
                      <w:highlight w:val="none"/>
                      <w:lang w:val="en-US" w:eastAsia="zh-CN"/>
                    </w:rPr>
                    <w:t>采用空气源热泵供暖，不设置锅炉，</w:t>
                  </w:r>
                  <w:r>
                    <w:rPr>
                      <w:rFonts w:hint="eastAsia" w:cs="Times New Roman"/>
                      <w:color w:val="auto"/>
                      <w:sz w:val="21"/>
                      <w:szCs w:val="21"/>
                      <w:highlight w:val="none"/>
                      <w:lang w:val="en-US" w:eastAsia="zh-CN"/>
                    </w:rPr>
                    <w:t>生产用蒸汽使用1台3t/h的燃气锅炉；发酵废气、面粉投加粉尘产生量较少，经车间空气净化系统外排</w:t>
                  </w:r>
                  <w:r>
                    <w:rPr>
                      <w:rFonts w:hint="eastAsia" w:cs="Times New Roman"/>
                      <w:color w:val="auto"/>
                      <w:sz w:val="21"/>
                      <w:szCs w:val="21"/>
                      <w:highlight w:val="none"/>
                      <w:lang w:val="en-US" w:eastAsia="zh-CN"/>
                    </w:rPr>
                    <w:t>；污水处理恶臭气体经采用地埋一体式污水处理设备及喷洒生物除臭剂；食堂油烟经油烟净化器处理后经专属烟道排空；食堂污水经油水分离器处理后同生活污水一同排入园区污水管网，生产废水经地埋一体式污水处理站处理后排入园区污水管网，锅炉排污水及纯水制备浓水经降温沉淀池处理后排入园区雨水管网，</w:t>
                  </w:r>
                  <w:r>
                    <w:rPr>
                      <w:rFonts w:hint="default" w:ascii="Times New Roman" w:hAnsi="Times New Roman" w:eastAsia="宋体" w:cs="Times New Roman"/>
                      <w:color w:val="auto"/>
                      <w:sz w:val="21"/>
                      <w:szCs w:val="21"/>
                      <w:highlight w:val="none"/>
                      <w:lang w:val="en-US" w:eastAsia="zh-CN"/>
                    </w:rPr>
                    <w:t>对周围环境影响较小。</w:t>
                  </w:r>
                </w:p>
              </w:tc>
              <w:tc>
                <w:tcPr>
                  <w:tcW w:w="5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8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w:t>
                  </w:r>
                  <w:r>
                    <w:rPr>
                      <w:rFonts w:hint="default" w:ascii="Times New Roman" w:hAnsi="Times New Roman" w:eastAsia="宋体" w:cs="Times New Roman"/>
                      <w:color w:val="auto"/>
                      <w:sz w:val="21"/>
                      <w:szCs w:val="21"/>
                      <w:highlight w:val="none"/>
                    </w:rPr>
                    <w:t>染物排放管控</w:t>
                  </w:r>
                </w:p>
              </w:tc>
              <w:tc>
                <w:tcPr>
                  <w:tcW w:w="3240" w:type="dxa"/>
                  <w:noWrap w:val="0"/>
                  <w:vAlign w:val="center"/>
                </w:tcPr>
                <w:p>
                  <w:pPr>
                    <w:numPr>
                      <w:ilvl w:val="0"/>
                      <w:numId w:val="0"/>
                    </w:numPr>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1、临夏市及各县完成省、州下达的空气质量改善目标任务。2025年全市可吸入颗粒物（PM10）年均浓度控制在54μg/m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以下，细颗粒物（PM2.5）年均浓度控制在27μg/m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以下，2035年保持稳定。</w:t>
                  </w:r>
                </w:p>
                <w:p>
                  <w:pPr>
                    <w:numPr>
                      <w:ilvl w:val="0"/>
                      <w:numId w:val="0"/>
                    </w:numPr>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天然气管网覆盖范围内的分散燃煤锅炉在落实气源和供气量的前提下实施清洁能源改造。集中供热管网和天然气管网未覆盖区域的燃煤锅炉，符合国家和省上政策要求的，应进行锅炉烟气达标治理改造；不符合国家和省上政策要求，应改为电、空气源热泵、醇基燃料等清洁能源。偏远乡镇地区，受经济等条件制约暂时无法淘汰或用清洁能源替代的燃煤锅炉，可采取使用洁净煤等方式实现燃煤锅炉烟气达标排放。加快燃煤锅炉提标改造工作，各类燃煤锅炉按时限要求达到国家规定的排放标准要求。全州基本完成国一、国二标准汽油车和国三标准柴油车淘汰任务，推广使用达到国六排放标准的燃气车辆。3、加强工业炉窑大气污染综合治理，落实各项重点任务。新建涉工业炉窑的建设项目，原则上要入园区，配套建设高效环保治理设施。</w:t>
                  </w:r>
                </w:p>
                <w:p>
                  <w:pPr>
                    <w:numPr>
                      <w:ilvl w:val="0"/>
                      <w:numId w:val="0"/>
                    </w:numPr>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按照《重点行业挥发性有机物综合治理方案》（环大气〔2019〕53号）以重点行业（制药、包装印刷，家具、钢结构等工业涂装）和重点污染物为主要控制对象全面加强园区挥发性有机物（VOCs）污染综合治理工作，建立防治长效机制。鼓励生产、销售和使用低毒、低挥发有机溶剂，涂装行业推进非溶剂型涂料产品创新，减少生产和使用过程中VOCs排放；包装印刷行业推广环境友好型油墨，在末端建立密闭废气收集系统，实施有机溶剂回收利用。排气口高度超过45m的高架源，以及石化、化工、包装印刷、工业涂装等VOCs排放重点源，纳入重点排污单位名录并安装烟气排放自动监控设施。</w:t>
                  </w:r>
                </w:p>
                <w:p>
                  <w:pPr>
                    <w:numPr>
                      <w:ilvl w:val="0"/>
                      <w:numId w:val="0"/>
                    </w:numPr>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5、到2025年，临夏州黄河流域地表水达到或优于Ⅲ类水体比例达到100%，黄河干流出境国控断面水质稳定达到Ⅱ类。县级及以上城市集中式饮用水水源水质达标率为100%，临夏市城市建城区无黑臭水体。</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w:t>
                  </w: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项目排放污染物特征，</w:t>
                  </w:r>
                  <w:r>
                    <w:rPr>
                      <w:rFonts w:hint="default" w:ascii="Times New Roman" w:hAnsi="Times New Roman" w:eastAsia="宋体" w:cs="Times New Roman"/>
                      <w:color w:val="auto"/>
                      <w:sz w:val="21"/>
                      <w:szCs w:val="21"/>
                      <w:highlight w:val="none"/>
                      <w:lang w:val="en-US" w:eastAsia="zh-CN"/>
                    </w:rPr>
                    <w:t>结合固定污染源排污许可分类管理名录，本项目总量控制</w:t>
                  </w:r>
                  <w:r>
                    <w:rPr>
                      <w:rFonts w:hint="eastAsia" w:eastAsia="宋体" w:cs="Times New Roman"/>
                      <w:color w:val="auto"/>
                      <w:sz w:val="21"/>
                      <w:szCs w:val="21"/>
                      <w:highlight w:val="none"/>
                      <w:lang w:val="en-US" w:eastAsia="zh-CN"/>
                    </w:rPr>
                    <w:t>指标为NO</w:t>
                  </w:r>
                  <w:r>
                    <w:rPr>
                      <w:rFonts w:hint="eastAsia" w:eastAsia="宋体" w:cs="Times New Roman"/>
                      <w:color w:val="auto"/>
                      <w:sz w:val="21"/>
                      <w:szCs w:val="21"/>
                      <w:highlight w:val="none"/>
                      <w:vertAlign w:val="subscript"/>
                      <w:lang w:val="en-US" w:eastAsia="zh-CN"/>
                    </w:rPr>
                    <w:t>X</w:t>
                  </w:r>
                  <w:r>
                    <w:rPr>
                      <w:rFonts w:hint="eastAsia" w:cs="Times New Roman"/>
                      <w:color w:val="auto"/>
                      <w:sz w:val="21"/>
                      <w:szCs w:val="21"/>
                      <w:highlight w:val="none"/>
                      <w:lang w:val="en-US" w:eastAsia="zh-CN"/>
                    </w:rPr>
                    <w:t>0.27</w:t>
                  </w:r>
                  <w:r>
                    <w:rPr>
                      <w:rFonts w:hint="eastAsia" w:eastAsia="宋体" w:cs="Times New Roman"/>
                      <w:color w:val="auto"/>
                      <w:sz w:val="21"/>
                      <w:szCs w:val="21"/>
                      <w:highlight w:val="none"/>
                      <w:lang w:val="en-US" w:eastAsia="zh-CN"/>
                    </w:rPr>
                    <w:t>t/a</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w:t>
                  </w:r>
                  <w:r>
                    <w:rPr>
                      <w:rFonts w:hint="eastAsia" w:eastAsia="宋体" w:cs="Times New Roman"/>
                      <w:color w:val="auto"/>
                      <w:sz w:val="21"/>
                      <w:szCs w:val="21"/>
                      <w:highlight w:val="none"/>
                      <w:lang w:val="en-US" w:eastAsia="zh-CN"/>
                    </w:rPr>
                    <w:t>锅炉配套安装低氮燃烧器，烟气经8m</w:t>
                  </w:r>
                  <w:r>
                    <w:rPr>
                      <w:rFonts w:hint="eastAsia" w:cs="Times New Roman"/>
                      <w:color w:val="auto"/>
                      <w:sz w:val="21"/>
                      <w:szCs w:val="21"/>
                      <w:highlight w:val="none"/>
                      <w:lang w:val="en-US" w:eastAsia="zh-CN"/>
                    </w:rPr>
                    <w:t>烟囱</w:t>
                  </w:r>
                  <w:r>
                    <w:rPr>
                      <w:rFonts w:hint="eastAsia" w:eastAsia="宋体" w:cs="Times New Roman"/>
                      <w:color w:val="auto"/>
                      <w:sz w:val="21"/>
                      <w:szCs w:val="21"/>
                      <w:highlight w:val="none"/>
                      <w:lang w:val="en-US" w:eastAsia="zh-CN"/>
                    </w:rPr>
                    <w:t>排空，排放浓度可满足</w:t>
                  </w:r>
                  <w:r>
                    <w:rPr>
                      <w:rFonts w:hint="eastAsia" w:cs="Times New Roman"/>
                      <w:color w:val="auto"/>
                      <w:sz w:val="21"/>
                      <w:szCs w:val="21"/>
                      <w:highlight w:val="none"/>
                      <w:lang w:val="en-US" w:eastAsia="zh-CN"/>
                    </w:rPr>
                    <w:t>《</w:t>
                  </w:r>
                  <w:r>
                    <w:rPr>
                      <w:rStyle w:val="50"/>
                      <w:rFonts w:hint="eastAsia"/>
                      <w:color w:val="auto"/>
                    </w:rPr>
                    <w:t>锅炉大气污染物排放标准</w:t>
                  </w:r>
                  <w:r>
                    <w:rPr>
                      <w:rFonts w:hint="eastAsia" w:cs="Times New Roman"/>
                      <w:color w:val="auto"/>
                      <w:sz w:val="21"/>
                      <w:szCs w:val="21"/>
                      <w:highlight w:val="none"/>
                      <w:lang w:val="en-US" w:eastAsia="zh-CN"/>
                    </w:rPr>
                    <w:t>》</w:t>
                  </w:r>
                  <w:r>
                    <w:rPr>
                      <w:rStyle w:val="50"/>
                      <w:color w:val="auto"/>
                    </w:rPr>
                    <w:fldChar w:fldCharType="begin"/>
                  </w:r>
                  <w:r>
                    <w:rPr>
                      <w:rStyle w:val="50"/>
                      <w:color w:val="auto"/>
                    </w:rPr>
                    <w:instrText xml:space="preserve"> HYPERLINK "https://www.mee.gov.cn/ywgz/fgbz/bz/bzwb/dqhjbh/dqgdwrywrwpfbz/201405/W020140530580815383678.pdf" </w:instrText>
                  </w:r>
                  <w:r>
                    <w:rPr>
                      <w:rStyle w:val="50"/>
                      <w:color w:val="auto"/>
                    </w:rPr>
                    <w:fldChar w:fldCharType="separate"/>
                  </w:r>
                  <w:r>
                    <w:rPr>
                      <w:rStyle w:val="50"/>
                      <w:rFonts w:hint="eastAsia"/>
                      <w:color w:val="auto"/>
                    </w:rPr>
                    <w:t>(GB 13271-2014)</w:t>
                  </w:r>
                  <w:r>
                    <w:rPr>
                      <w:rStyle w:val="50"/>
                      <w:rFonts w:hint="eastAsia"/>
                      <w:color w:val="auto"/>
                    </w:rPr>
                    <w:fldChar w:fldCharType="end"/>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发酵废气、面粉投加粉尘产生量较少</w:t>
                  </w:r>
                  <w:r>
                    <w:rPr>
                      <w:rFonts w:hint="eastAsia" w:cs="Times New Roman"/>
                      <w:color w:val="auto"/>
                      <w:sz w:val="21"/>
                      <w:szCs w:val="21"/>
                      <w:highlight w:val="none"/>
                      <w:lang w:val="en-US" w:eastAsia="zh-CN"/>
                    </w:rPr>
                    <w:t>，经车间空气净化系统外排；污水处理恶臭气体经采用地埋一体式污水处理设备及喷洒生物除臭剂；食堂油烟经油烟净化器处理后经专属烟道排空</w:t>
                  </w:r>
                  <w:r>
                    <w:rPr>
                      <w:rFonts w:hint="eastAsia"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对周边环境影响较小；</w:t>
                  </w:r>
                  <w:r>
                    <w:rPr>
                      <w:rFonts w:hint="eastAsia" w:cs="Times New Roman"/>
                      <w:color w:val="auto"/>
                      <w:sz w:val="21"/>
                      <w:szCs w:val="21"/>
                      <w:highlight w:val="none"/>
                      <w:lang w:val="en-US" w:eastAsia="zh-CN"/>
                    </w:rPr>
                    <w:t>食堂污水经油水分离器处理后同生活污水一同排入园区污水管网，生产废水经地埋一体式污水处理站处理后排入园区污水管网，锅炉排污水及纯水制备浓水经降温沉淀池处理后排入园区雨水管网，</w:t>
                  </w:r>
                  <w:r>
                    <w:rPr>
                      <w:rFonts w:hint="default" w:ascii="Times New Roman" w:hAnsi="Times New Roman" w:eastAsia="宋体" w:cs="Times New Roman"/>
                      <w:color w:val="auto"/>
                      <w:sz w:val="21"/>
                      <w:szCs w:val="21"/>
                      <w:highlight w:val="none"/>
                      <w:lang w:val="en-US" w:eastAsia="zh-CN"/>
                    </w:rPr>
                    <w:t>对周围环境影响较小。</w:t>
                  </w:r>
                </w:p>
              </w:tc>
              <w:tc>
                <w:tcPr>
                  <w:tcW w:w="5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8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环境</w:t>
                  </w:r>
                  <w:r>
                    <w:rPr>
                      <w:rFonts w:hint="default" w:ascii="Times New Roman" w:hAnsi="Times New Roman" w:eastAsia="宋体" w:cs="Times New Roman"/>
                      <w:color w:val="auto"/>
                      <w:sz w:val="21"/>
                      <w:szCs w:val="21"/>
                      <w:highlight w:val="none"/>
                    </w:rPr>
                    <w:t>风险防控</w:t>
                  </w:r>
                </w:p>
              </w:tc>
              <w:tc>
                <w:tcPr>
                  <w:tcW w:w="3240" w:type="dxa"/>
                  <w:noWrap w:val="0"/>
                  <w:vAlign w:val="center"/>
                </w:tcPr>
                <w:p>
                  <w:pPr>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园区内各企业工业废水必须经预处理达到集中处理要求后，方可进入工业集聚区污水集中处理设施。到2025年，全州省级及以上经济开发区（工业园区）全部建成污水集中处理设施并稳定达标排放，加快推进工业污废水全收集全处理，推动实现工业废水稳定达标排放，严控工业废水未经处理或未有效处理直接排入城镇污水处理系统，严厉打击向河流、湿地、地下水等偷排、直排行为。</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食堂污水经油水分离器处理后同生活污水一同排入园区污水管网，生产废水经地埋一体式污水处理站处理后排入园区污水管网，锅炉排污水及纯水制备浓水经降温沉淀池处理后用排入园区雨水管网，</w:t>
                  </w:r>
                  <w:r>
                    <w:rPr>
                      <w:rFonts w:hint="default" w:ascii="Times New Roman" w:hAnsi="Times New Roman" w:eastAsia="宋体" w:cs="Times New Roman"/>
                      <w:color w:val="auto"/>
                      <w:sz w:val="21"/>
                      <w:szCs w:val="21"/>
                      <w:highlight w:val="none"/>
                      <w:lang w:val="en-US" w:eastAsia="zh-CN"/>
                    </w:rPr>
                    <w:t>对周围环境影响较小。</w:t>
                  </w:r>
                </w:p>
              </w:tc>
              <w:tc>
                <w:tcPr>
                  <w:tcW w:w="5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8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w:t>
                  </w:r>
                  <w:r>
                    <w:rPr>
                      <w:rFonts w:hint="default" w:ascii="Times New Roman" w:hAnsi="Times New Roman" w:eastAsia="宋体" w:cs="Times New Roman"/>
                      <w:color w:val="auto"/>
                      <w:sz w:val="21"/>
                      <w:szCs w:val="21"/>
                      <w:highlight w:val="none"/>
                      <w:lang w:val="en-US" w:eastAsia="zh-CN"/>
                    </w:rPr>
                    <w:t>源</w:t>
                  </w:r>
                  <w:r>
                    <w:rPr>
                      <w:rFonts w:hint="default" w:ascii="Times New Roman" w:hAnsi="Times New Roman" w:eastAsia="宋体" w:cs="Times New Roman"/>
                      <w:color w:val="auto"/>
                      <w:sz w:val="21"/>
                      <w:szCs w:val="21"/>
                      <w:highlight w:val="none"/>
                    </w:rPr>
                    <w:t>开发利用</w:t>
                  </w:r>
                </w:p>
              </w:tc>
              <w:tc>
                <w:tcPr>
                  <w:tcW w:w="32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水资源利用效率要求</w:t>
                  </w:r>
                  <w:r>
                    <w:rPr>
                      <w:rFonts w:hint="default" w:ascii="Times New Roman" w:hAnsi="Times New Roman" w:eastAsia="宋体" w:cs="Times New Roman"/>
                      <w:b/>
                      <w:bCs/>
                      <w:color w:val="auto"/>
                      <w:sz w:val="21"/>
                      <w:szCs w:val="21"/>
                      <w:highlight w:val="none"/>
                      <w:lang w:eastAsia="zh-CN"/>
                    </w:rPr>
                    <w:t>：</w:t>
                  </w:r>
                </w:p>
                <w:p>
                  <w:pPr>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严格执行省政府下达的水资源管理控制指标，到2025年，临夏回族自治州用水总量控制目标为3.93亿m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，万元国内生产总值用水量比2020年下降9.1%，万元工业增加值用水量相比2020年下降2.9%，农田灌溉水有效利用系数为0.563；到2030年，临夏回族自治州用水总量控制目标为4.17亿m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，万元工业增加值用水量为28m3/万元，农田灌溉水有效利用系数为0.58。到2035年，临夏回族自治州用水总量控制目标、万元工业增加值用水量、农田灌溉水有效利用系数均以国家下达指标确定。</w:t>
                  </w:r>
                </w:p>
                <w:p>
                  <w:pPr>
                    <w:bidi w:val="0"/>
                    <w:spacing w:line="240" w:lineRule="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土地资源利用要求</w:t>
                  </w:r>
                  <w:r>
                    <w:rPr>
                      <w:rFonts w:hint="default" w:ascii="Times New Roman" w:hAnsi="Times New Roman" w:eastAsia="宋体" w:cs="Times New Roman"/>
                      <w:b/>
                      <w:bCs/>
                      <w:color w:val="auto"/>
                      <w:sz w:val="21"/>
                      <w:szCs w:val="21"/>
                      <w:highlight w:val="none"/>
                      <w:lang w:eastAsia="zh-CN"/>
                    </w:rPr>
                    <w:t>：</w:t>
                  </w:r>
                </w:p>
                <w:p>
                  <w:pPr>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经批准和公共供水管网覆盖范围内的自备水井全部关停。取水总量接近用水总量控制指标的县市，应限制审批该区域内新建、改建、扩建项目取水许可申请；取水总量达到或者超过用水总量控制指标的地区，除通过水权转让方式获得用水指标外，应暂停审批该区域内新建、改建、扩建项目取水许可申请。</w:t>
                  </w:r>
                </w:p>
                <w:p>
                  <w:pPr>
                    <w:bidi w:val="0"/>
                    <w:spacing w:line="240" w:lineRule="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能源利用要求</w:t>
                  </w:r>
                  <w:r>
                    <w:rPr>
                      <w:rFonts w:hint="default" w:ascii="Times New Roman" w:hAnsi="Times New Roman" w:eastAsia="宋体" w:cs="Times New Roman"/>
                      <w:b/>
                      <w:bCs/>
                      <w:color w:val="auto"/>
                      <w:sz w:val="21"/>
                      <w:szCs w:val="21"/>
                      <w:highlight w:val="none"/>
                      <w:lang w:eastAsia="zh-CN"/>
                    </w:rPr>
                    <w:t>：</w:t>
                  </w:r>
                </w:p>
                <w:p>
                  <w:pPr>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全州煤炭消费总量控制在省上下达指标范围内；2025年全州国内单位生产总值能耗较2020年下降12%，</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期间年均下降2.52%，能源消费总量得到合理控制，化学需氧量、氨氮、氮氧化物、挥发性有机物重点工程减排分别达到450t、10t、775t、280t；非化石能源占一次能源消费比达到30%。</w:t>
                  </w:r>
                </w:p>
                <w:p>
                  <w:pPr>
                    <w:bidi w:val="0"/>
                    <w:spacing w:line="240" w:lineRule="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禁燃区要求</w:t>
                  </w:r>
                  <w:r>
                    <w:rPr>
                      <w:rFonts w:hint="default" w:ascii="Times New Roman" w:hAnsi="Times New Roman" w:eastAsia="宋体" w:cs="Times New Roman"/>
                      <w:b/>
                      <w:bCs/>
                      <w:color w:val="auto"/>
                      <w:sz w:val="21"/>
                      <w:szCs w:val="21"/>
                      <w:highlight w:val="none"/>
                      <w:lang w:eastAsia="zh-CN"/>
                    </w:rPr>
                    <w:t>：</w:t>
                  </w:r>
                </w:p>
                <w:p>
                  <w:pPr>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在禁燃区禁止新建、扩建燃用高污染燃料的设施，已建成的要在县市政府规定的时限内改用天然气、液化石油气、电或者其他清洁能源。</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不属于高耗水、高耗能项目，项目利用电能和水资源，总体用量较少；</w:t>
                  </w:r>
                  <w:r>
                    <w:rPr>
                      <w:rFonts w:hint="default" w:ascii="Times New Roman" w:hAnsi="Times New Roman" w:eastAsia="宋体" w:cs="Times New Roman"/>
                      <w:color w:val="auto"/>
                      <w:sz w:val="21"/>
                      <w:szCs w:val="21"/>
                      <w:highlight w:val="none"/>
                      <w:lang w:val="en-US" w:eastAsia="zh-CN"/>
                    </w:rPr>
                    <w:t>冬季采暖采用电取暖</w:t>
                  </w:r>
                  <w:r>
                    <w:rPr>
                      <w:rFonts w:hint="default" w:ascii="Times New Roman" w:hAnsi="Times New Roman" w:eastAsia="宋体" w:cs="Times New Roman"/>
                      <w:color w:val="auto"/>
                      <w:sz w:val="21"/>
                      <w:szCs w:val="21"/>
                      <w:highlight w:val="none"/>
                    </w:rPr>
                    <w:t>，不消耗煤炭资源；</w:t>
                  </w:r>
                  <w:r>
                    <w:rPr>
                      <w:rFonts w:hint="eastAsia" w:cs="Times New Roman"/>
                      <w:color w:val="auto"/>
                      <w:sz w:val="21"/>
                      <w:szCs w:val="21"/>
                      <w:highlight w:val="none"/>
                      <w:lang w:val="en-US" w:eastAsia="zh-CN"/>
                    </w:rPr>
                    <w:t>生产供蒸汽使用1台燃气锅炉；</w:t>
                  </w: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项目不开采地下水。项目运营期不消耗煤炭资源，能源消耗仅为少量电耗，电耗主要为</w:t>
                  </w:r>
                  <w:r>
                    <w:rPr>
                      <w:rFonts w:hint="eastAsia"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rPr>
                    <w:t>消耗，用电量不大。本项目能耗主要为电能，不涉及高污染燃料的设施。</w:t>
                  </w:r>
                </w:p>
              </w:tc>
              <w:tc>
                <w:tcPr>
                  <w:tcW w:w="5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85" w:type="dxa"/>
                  <w:vMerge w:val="restar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和政循环经济</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产业园区</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空</w:t>
                  </w:r>
                  <w:r>
                    <w:rPr>
                      <w:rFonts w:hint="default" w:ascii="Times New Roman" w:hAnsi="Times New Roman" w:eastAsia="宋体" w:cs="Times New Roman"/>
                      <w:color w:val="auto"/>
                      <w:sz w:val="21"/>
                      <w:szCs w:val="21"/>
                      <w:highlight w:val="none"/>
                    </w:rPr>
                    <w:t>间布局约束</w:t>
                  </w:r>
                </w:p>
              </w:tc>
              <w:tc>
                <w:tcPr>
                  <w:tcW w:w="32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1、禁止建设不符合国家产业政策、清洁生产要求和环境保护规定及开发区规划方向的项目。</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2、严格控制高耗能、高污染行业新增产能。</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项目符合国家产业政策，各项污染物均采取合理措施，污染物均能达标排放</w:t>
                  </w:r>
                </w:p>
              </w:tc>
              <w:tc>
                <w:tcPr>
                  <w:tcW w:w="5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85" w:type="dxa"/>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w:t>
                  </w:r>
                  <w:r>
                    <w:rPr>
                      <w:rFonts w:hint="default" w:ascii="Times New Roman" w:hAnsi="Times New Roman" w:eastAsia="宋体" w:cs="Times New Roman"/>
                      <w:color w:val="auto"/>
                      <w:sz w:val="21"/>
                      <w:szCs w:val="21"/>
                      <w:highlight w:val="none"/>
                    </w:rPr>
                    <w:t>染物排放管控</w:t>
                  </w:r>
                </w:p>
              </w:tc>
              <w:tc>
                <w:tcPr>
                  <w:tcW w:w="32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1、开发区排水系统采用</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雨污分流</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设置，园区应配套建设污水处理厂集中治理达标排放。</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2、区内各企业废水经预处理满足污水处理厂进水水质要求后再进入污水处理厂处理。</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食堂污水经油水分离器处理后同生活污水一同排入园区污水管网，生产废水经地埋一体式污水处理站处理后，达到《污水综合排放标准》（GB 8978-1996）排入园区污水管网，最终排入和政县污水处理厂；锅炉排污水及纯水制备浓水经降温沉淀池处理后排入园区雨水管网，</w:t>
                  </w:r>
                  <w:r>
                    <w:rPr>
                      <w:rFonts w:hint="default" w:ascii="Times New Roman" w:hAnsi="Times New Roman" w:eastAsia="宋体" w:cs="Times New Roman"/>
                      <w:color w:val="auto"/>
                      <w:sz w:val="21"/>
                      <w:szCs w:val="21"/>
                      <w:highlight w:val="none"/>
                      <w:lang w:val="en-US" w:eastAsia="zh-CN"/>
                    </w:rPr>
                    <w:t>对周围环境影响较小。</w:t>
                  </w:r>
                </w:p>
              </w:tc>
              <w:tc>
                <w:tcPr>
                  <w:tcW w:w="5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85" w:type="dxa"/>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w:t>
                  </w:r>
                  <w:r>
                    <w:rPr>
                      <w:rFonts w:hint="default" w:ascii="Times New Roman" w:hAnsi="Times New Roman" w:eastAsia="宋体" w:cs="Times New Roman"/>
                      <w:color w:val="auto"/>
                      <w:sz w:val="21"/>
                      <w:szCs w:val="21"/>
                      <w:highlight w:val="none"/>
                    </w:rPr>
                    <w:t>境风险防控</w:t>
                  </w:r>
                </w:p>
              </w:tc>
              <w:tc>
                <w:tcPr>
                  <w:tcW w:w="32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按照有关规定进行合理布局，各区块及整个园区都应制定相应的环境风险应急预案，严格按照环评要求，落实环境风险应急预案中各项保障措施，强化所有人员的环境安全培训。积极和地方政府的环境风险应急预案协调衔接，确保一旦发生事故能够及时响应、各负其责、联合行动。</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本项目主要环境风险物质为</w:t>
                  </w:r>
                  <w:r>
                    <w:rPr>
                      <w:rFonts w:hint="eastAsia" w:cs="Times New Roman"/>
                      <w:color w:val="auto"/>
                      <w:sz w:val="21"/>
                      <w:szCs w:val="21"/>
                      <w:highlight w:val="none"/>
                      <w:lang w:val="en-US" w:eastAsia="zh-CN"/>
                    </w:rPr>
                    <w:t>乙醇（酒精）及天然气（管道内）</w:t>
                  </w:r>
                  <w:r>
                    <w:rPr>
                      <w:rFonts w:hint="default" w:ascii="Times New Roman" w:hAnsi="Times New Roman" w:eastAsia="宋体" w:cs="Times New Roman"/>
                      <w:color w:val="auto"/>
                      <w:sz w:val="21"/>
                      <w:szCs w:val="21"/>
                      <w:highlight w:val="none"/>
                      <w:lang w:val="en-US" w:eastAsia="zh-CN"/>
                    </w:rPr>
                    <w:t>，但最大存在量较小，在落实本次评价要求的各项风险防范措施，可有效防范环境风险事件发生。</w:t>
                  </w:r>
                </w:p>
              </w:tc>
              <w:tc>
                <w:tcPr>
                  <w:tcW w:w="5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85" w:type="dxa"/>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p>
              </w:tc>
              <w:tc>
                <w:tcPr>
                  <w:tcW w:w="64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资</w:t>
                  </w:r>
                  <w:r>
                    <w:rPr>
                      <w:rFonts w:hint="default" w:ascii="Times New Roman" w:hAnsi="Times New Roman" w:eastAsia="宋体" w:cs="Times New Roman"/>
                      <w:color w:val="auto"/>
                      <w:sz w:val="21"/>
                      <w:szCs w:val="21"/>
                      <w:highlight w:val="none"/>
                    </w:rPr>
                    <w:t>源开发利用</w:t>
                  </w:r>
                </w:p>
              </w:tc>
              <w:tc>
                <w:tcPr>
                  <w:tcW w:w="324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执行临夏回族自治州和和政县资源利用效率要求</w:t>
                  </w:r>
                </w:p>
              </w:tc>
              <w:tc>
                <w:tcPr>
                  <w:tcW w:w="176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详见上文</w:t>
                  </w:r>
                </w:p>
              </w:tc>
              <w:tc>
                <w:tcPr>
                  <w:tcW w:w="55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bl>
          <w:p>
            <w:pPr>
              <w:pStyle w:val="16"/>
              <w:adjustRightInd w:val="0"/>
              <w:snapToGrid w:val="0"/>
              <w:spacing w:before="120" w:beforeLines="50" w:after="0" w:line="360" w:lineRule="auto"/>
              <w:ind w:left="0" w:leftChars="0" w:firstLine="480" w:firstLineChars="200"/>
              <w:rPr>
                <w:rFonts w:hint="eastAsia"/>
                <w:color w:val="auto"/>
                <w:sz w:val="24"/>
                <w:lang w:bidi="zh-CN"/>
              </w:rPr>
            </w:pPr>
            <w:r>
              <w:rPr>
                <w:rFonts w:hint="eastAsia"/>
                <w:color w:val="auto"/>
                <w:sz w:val="24"/>
                <w:lang w:bidi="zh-CN"/>
              </w:rPr>
              <w:t>综上，本项目符合甘肃省、</w:t>
            </w:r>
            <w:r>
              <w:rPr>
                <w:rFonts w:hint="eastAsia"/>
                <w:color w:val="auto"/>
                <w:sz w:val="24"/>
                <w:lang w:val="en-US" w:bidi="zh-CN"/>
              </w:rPr>
              <w:t>临夏州、和政县</w:t>
            </w:r>
            <w:r>
              <w:rPr>
                <w:rFonts w:hint="eastAsia"/>
                <w:color w:val="auto"/>
                <w:sz w:val="24"/>
                <w:lang w:bidi="zh-CN"/>
              </w:rPr>
              <w:t>生态环境准入清单中</w:t>
            </w:r>
            <w:r>
              <w:rPr>
                <w:rFonts w:hint="eastAsia"/>
                <w:color w:val="auto"/>
                <w:sz w:val="24"/>
                <w:lang w:val="en-US" w:bidi="zh-CN"/>
              </w:rPr>
              <w:t>重点</w:t>
            </w:r>
            <w:r>
              <w:rPr>
                <w:rFonts w:hint="eastAsia"/>
                <w:color w:val="auto"/>
                <w:sz w:val="24"/>
                <w:lang w:bidi="zh-CN"/>
              </w:rPr>
              <w:t>管控单元的要求。</w:t>
            </w:r>
          </w:p>
          <w:p>
            <w:pPr>
              <w:widowControl/>
              <w:spacing w:line="360" w:lineRule="auto"/>
              <w:ind w:firstLine="506" w:firstLineChars="200"/>
              <w:rPr>
                <w:b/>
                <w:bCs/>
                <w:color w:val="auto"/>
                <w:spacing w:val="6"/>
                <w:sz w:val="24"/>
                <w:highlight w:val="none"/>
              </w:rPr>
            </w:pPr>
            <w:r>
              <w:rPr>
                <w:b/>
                <w:bCs/>
                <w:color w:val="auto"/>
                <w:spacing w:val="6"/>
                <w:sz w:val="24"/>
                <w:highlight w:val="none"/>
              </w:rPr>
              <w:t>3、</w:t>
            </w:r>
            <w:r>
              <w:rPr>
                <w:b/>
                <w:bCs/>
                <w:color w:val="auto"/>
                <w:kern w:val="0"/>
                <w:sz w:val="24"/>
                <w:highlight w:val="none"/>
              </w:rPr>
              <w:t>选址合理性分析</w:t>
            </w:r>
          </w:p>
          <w:p>
            <w:pPr>
              <w:spacing w:line="360" w:lineRule="auto"/>
              <w:ind w:firstLine="480" w:firstLineChars="200"/>
              <w:rPr>
                <w:rFonts w:hint="default" w:eastAsia="宋体"/>
                <w:color w:val="auto"/>
                <w:kern w:val="0"/>
                <w:sz w:val="24"/>
                <w:highlight w:val="none"/>
                <w:lang w:val="en-US" w:eastAsia="zh-CN"/>
              </w:rPr>
            </w:pPr>
            <w:r>
              <w:rPr>
                <w:color w:val="auto"/>
                <w:sz w:val="24"/>
                <w:highlight w:val="none"/>
              </w:rPr>
              <w:t>本项目</w:t>
            </w:r>
            <w:r>
              <w:rPr>
                <w:rFonts w:hint="eastAsia"/>
                <w:color w:val="auto"/>
                <w:sz w:val="24"/>
                <w:highlight w:val="none"/>
                <w:lang w:val="en-US" w:eastAsia="zh-CN"/>
              </w:rPr>
              <w:t>租用和政县人民政府下属和政县城乡建设投资有限公司和政循环经济生产园区辐照产业园项目场地及厂房（</w:t>
            </w:r>
            <w:r>
              <w:rPr>
                <w:rFonts w:hint="eastAsia" w:ascii="Times New Roman" w:eastAsia="宋体"/>
                <w:color w:val="auto"/>
                <w:sz w:val="24"/>
                <w:highlight w:val="none"/>
                <w:lang w:val="en-US" w:eastAsia="zh-CN"/>
              </w:rPr>
              <w:t>租赁合同见附件3</w:t>
            </w:r>
            <w:r>
              <w:rPr>
                <w:rFonts w:hint="eastAsia"/>
                <w:color w:val="auto"/>
                <w:sz w:val="24"/>
                <w:highlight w:val="none"/>
                <w:lang w:val="en-US" w:eastAsia="zh-CN"/>
              </w:rPr>
              <w:t>）</w:t>
            </w:r>
            <w:r>
              <w:rPr>
                <w:rFonts w:hint="eastAsia"/>
                <w:color w:val="auto"/>
                <w:sz w:val="24"/>
                <w:highlight w:val="none"/>
                <w:lang w:val="en-US" w:eastAsia="zh-CN"/>
              </w:rPr>
              <w:t>，根据建设单位提供资料，和</w:t>
            </w:r>
            <w:r>
              <w:rPr>
                <w:rFonts w:hint="eastAsia" w:ascii="Times New Roman" w:eastAsia="宋体"/>
                <w:color w:val="auto"/>
                <w:sz w:val="24"/>
                <w:highlight w:val="none"/>
                <w:lang w:val="en-US" w:eastAsia="zh-CN"/>
              </w:rPr>
              <w:t>政循环经济生产园区辐照产业园</w:t>
            </w:r>
            <w:r>
              <w:rPr>
                <w:rFonts w:hint="eastAsia"/>
                <w:color w:val="auto"/>
                <w:sz w:val="24"/>
                <w:highlight w:val="none"/>
                <w:lang w:val="en-US" w:eastAsia="zh-CN"/>
              </w:rPr>
              <w:t>2023年1月6日已取得不动产权证书（甘(2023)和政县不动产权第0000098号，见附件4），土地用土为商服用地，同年3月10日，和政县人民政府将该土地用途调整为工业用地，并出具了《和政县人民政府关于《将甘(2023)和政县不动产权第0000097号、0000098号、0000100号商服用地调整为工业用地》的批复》（和政府发〔2023]42号），详见附件5，</w:t>
            </w:r>
            <w:r>
              <w:rPr>
                <w:rFonts w:hint="eastAsia"/>
                <w:color w:val="auto"/>
                <w:sz w:val="24"/>
                <w:highlight w:val="none"/>
              </w:rPr>
              <w:t>建设用地符合和政县国土空间规划和用途管制要求。</w:t>
            </w:r>
          </w:p>
          <w:p>
            <w:pPr>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同时根据</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三线一单</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选址查询结果，项目均属于重点管控单元，不在生态保护红线内。项目红线范围不占用基本农田、基本草原、林地，厂区所在地周边环境敏感度较低。</w:t>
            </w:r>
          </w:p>
          <w:p>
            <w:pPr>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运营期产生的污染物经本次环评提出的污染治理措施处置后，对敏感点及周边的环境影响较小。</w:t>
            </w:r>
          </w:p>
          <w:p>
            <w:pPr>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项目评价区域未内无国家重点保护的文物、古迹，无名胜风景区、自然保护区等特殊敏感点，厂区所在地水、电、燃气供应有保证，交通便利，满足该项目需求。综上所述，本项目选址可行。</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06" w:firstLineChars="200"/>
              <w:jc w:val="left"/>
              <w:textAlignment w:val="auto"/>
              <w:rPr>
                <w:rFonts w:hint="default" w:ascii="Times New Roman" w:hAnsi="宋体" w:eastAsia="宋体" w:cs="Times New Roman"/>
                <w:b/>
                <w:bCs/>
                <w:color w:val="auto"/>
                <w:spacing w:val="5"/>
                <w:kern w:val="2"/>
                <w:sz w:val="24"/>
                <w:szCs w:val="25"/>
                <w:lang w:val="en-US" w:eastAsia="zh-CN" w:bidi="ar-SA"/>
              </w:rPr>
            </w:pPr>
            <w:r>
              <w:rPr>
                <w:rFonts w:ascii="Times New Roman" w:hAnsi="Times New Roman" w:eastAsia="宋体" w:cs="Times New Roman"/>
                <w:b/>
                <w:bCs/>
                <w:color w:val="auto"/>
                <w:spacing w:val="6"/>
                <w:kern w:val="2"/>
                <w:sz w:val="24"/>
                <w:szCs w:val="24"/>
                <w:lang w:val="en-US" w:eastAsia="zh-CN" w:bidi="ar-SA"/>
              </w:rPr>
              <w:t>4、</w:t>
            </w:r>
            <w:r>
              <w:rPr>
                <w:rFonts w:hint="default" w:ascii="Times New Roman" w:hAnsi="Times New Roman" w:eastAsia="Times New Roman" w:cs="Times New Roman"/>
                <w:b/>
                <w:bCs/>
                <w:color w:val="auto"/>
                <w:spacing w:val="5"/>
                <w:kern w:val="2"/>
                <w:sz w:val="24"/>
                <w:szCs w:val="24"/>
                <w:lang w:val="en-US" w:eastAsia="zh-CN" w:bidi="ar-SA"/>
              </w:rPr>
              <w:t>与</w:t>
            </w:r>
            <w:r>
              <w:rPr>
                <w:rFonts w:hint="default" w:ascii="Times New Roman" w:hAnsi="Times New Roman" w:eastAsia="宋体" w:cs="Times New Roman"/>
                <w:b/>
                <w:bCs/>
                <w:color w:val="auto"/>
                <w:spacing w:val="5"/>
                <w:kern w:val="2"/>
                <w:sz w:val="24"/>
                <w:szCs w:val="25"/>
                <w:lang w:val="en-US" w:eastAsia="zh-CN" w:bidi="ar-SA"/>
              </w:rPr>
              <w:t>《</w:t>
            </w:r>
            <w:r>
              <w:rPr>
                <w:rFonts w:hint="eastAsia" w:ascii="Times New Roman" w:hAnsi="Times New Roman" w:eastAsia="宋体" w:cs="Times New Roman"/>
                <w:b/>
                <w:bCs/>
                <w:color w:val="auto"/>
                <w:kern w:val="2"/>
                <w:sz w:val="24"/>
                <w:szCs w:val="24"/>
                <w:lang w:val="en-US" w:eastAsia="zh-CN" w:bidi="ar-SA"/>
              </w:rPr>
              <w:t>临夏</w:t>
            </w:r>
            <w:r>
              <w:rPr>
                <w:rFonts w:hint="eastAsia" w:ascii="Times New Roman" w:hAnsi="Times New Roman" w:eastAsia="宋体" w:cs="Times New Roman"/>
                <w:b/>
                <w:bCs/>
                <w:color w:val="auto"/>
                <w:kern w:val="2"/>
                <w:sz w:val="24"/>
                <w:szCs w:val="24"/>
                <w:lang w:val="zh-CN" w:eastAsia="zh-CN" w:bidi="ar-SA"/>
              </w:rPr>
              <w:t>州</w:t>
            </w:r>
            <w:r>
              <w:rPr>
                <w:rFonts w:hint="eastAsia" w:cs="Times New Roman"/>
                <w:b/>
                <w:bCs/>
                <w:color w:val="auto"/>
                <w:kern w:val="2"/>
                <w:sz w:val="24"/>
                <w:szCs w:val="24"/>
                <w:lang w:val="zh-CN" w:eastAsia="zh-CN" w:bidi="ar-SA"/>
              </w:rPr>
              <w:t>“</w:t>
            </w:r>
            <w:r>
              <w:rPr>
                <w:rFonts w:hint="eastAsia" w:ascii="Times New Roman" w:hAnsi="Times New Roman" w:eastAsia="宋体" w:cs="Times New Roman"/>
                <w:b/>
                <w:bCs/>
                <w:color w:val="auto"/>
                <w:kern w:val="2"/>
                <w:sz w:val="24"/>
                <w:szCs w:val="24"/>
                <w:lang w:val="zh-CN" w:eastAsia="zh-CN" w:bidi="ar-SA"/>
              </w:rPr>
              <w:t>十四五</w:t>
            </w:r>
            <w:r>
              <w:rPr>
                <w:rFonts w:hint="eastAsia" w:cs="Times New Roman"/>
                <w:b/>
                <w:bCs/>
                <w:color w:val="auto"/>
                <w:kern w:val="2"/>
                <w:sz w:val="24"/>
                <w:szCs w:val="24"/>
                <w:lang w:val="zh-CN" w:eastAsia="zh-CN" w:bidi="ar-SA"/>
              </w:rPr>
              <w:t>”</w:t>
            </w:r>
            <w:r>
              <w:rPr>
                <w:rFonts w:hint="eastAsia" w:ascii="Times New Roman" w:hAnsi="Times New Roman" w:eastAsia="宋体" w:cs="Times New Roman"/>
                <w:b/>
                <w:bCs/>
                <w:color w:val="auto"/>
                <w:kern w:val="2"/>
                <w:sz w:val="24"/>
                <w:szCs w:val="24"/>
                <w:lang w:val="zh-CN" w:eastAsia="zh-CN" w:bidi="ar-SA"/>
              </w:rPr>
              <w:t>生态环境保护规划</w:t>
            </w:r>
            <w:r>
              <w:rPr>
                <w:rFonts w:hint="eastAsia" w:ascii="Times New Roman" w:hAnsi="Times New Roman" w:eastAsia="宋体" w:cs="Times New Roman"/>
                <w:b/>
                <w:bCs/>
                <w:color w:val="auto"/>
                <w:kern w:val="2"/>
                <w:sz w:val="24"/>
                <w:szCs w:val="24"/>
                <w:lang w:val="en-US" w:eastAsia="zh-CN" w:bidi="ar-SA"/>
              </w:rPr>
              <w:t>》</w:t>
            </w:r>
            <w:r>
              <w:rPr>
                <w:rFonts w:hint="eastAsia" w:ascii="Times New Roman" w:hAnsi="宋体" w:eastAsia="宋体" w:cs="Times New Roman"/>
                <w:b/>
                <w:bCs/>
                <w:color w:val="auto"/>
                <w:spacing w:val="5"/>
                <w:kern w:val="2"/>
                <w:sz w:val="24"/>
                <w:szCs w:val="25"/>
                <w:lang w:val="en-US" w:eastAsia="zh-CN" w:bidi="ar-SA"/>
              </w:rPr>
              <w:t>的符合性分析</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00" w:firstLineChars="200"/>
              <w:jc w:val="left"/>
              <w:textAlignment w:val="auto"/>
              <w:rPr>
                <w:rFonts w:hint="eastAsia" w:ascii="Times New Roman" w:hAnsi="宋体" w:eastAsia="宋体" w:cs="Times New Roman"/>
                <w:b/>
                <w:bCs/>
                <w:color w:val="auto"/>
                <w:spacing w:val="5"/>
                <w:kern w:val="2"/>
                <w:sz w:val="24"/>
                <w:szCs w:val="25"/>
                <w:lang w:val="en-US" w:eastAsia="zh-CN" w:bidi="ar-SA"/>
              </w:rPr>
            </w:pPr>
            <w:r>
              <w:rPr>
                <w:rFonts w:hint="eastAsia" w:ascii="Times New Roman" w:hAnsi="宋体" w:eastAsia="宋体" w:cs="Times New Roman"/>
                <w:b w:val="0"/>
                <w:bCs w:val="0"/>
                <w:color w:val="auto"/>
                <w:spacing w:val="5"/>
                <w:kern w:val="2"/>
                <w:sz w:val="24"/>
                <w:szCs w:val="25"/>
                <w:lang w:val="en-US" w:eastAsia="zh-CN" w:bidi="ar-SA"/>
              </w:rPr>
              <w:t>根据临夏回族自治州人民政府办公室印发的《</w:t>
            </w:r>
            <w:r>
              <w:rPr>
                <w:rFonts w:hint="eastAsia" w:hAnsi="宋体" w:cs="Times New Roman"/>
                <w:b w:val="0"/>
                <w:bCs w:val="0"/>
                <w:color w:val="auto"/>
                <w:spacing w:val="5"/>
                <w:kern w:val="2"/>
                <w:sz w:val="24"/>
                <w:szCs w:val="25"/>
                <w:lang w:val="en-US" w:eastAsia="zh-CN" w:bidi="ar-SA"/>
              </w:rPr>
              <w:t>临夏</w:t>
            </w:r>
            <w:r>
              <w:rPr>
                <w:rFonts w:hint="eastAsia" w:ascii="Times New Roman" w:hAnsi="宋体" w:eastAsia="宋体" w:cs="Times New Roman"/>
                <w:b w:val="0"/>
                <w:bCs w:val="0"/>
                <w:color w:val="auto"/>
                <w:spacing w:val="5"/>
                <w:kern w:val="2"/>
                <w:sz w:val="24"/>
                <w:szCs w:val="25"/>
                <w:lang w:val="zh-CN" w:eastAsia="zh-CN" w:bidi="ar-SA"/>
              </w:rPr>
              <w:t>州</w:t>
            </w:r>
            <w:r>
              <w:rPr>
                <w:rFonts w:hint="eastAsia" w:hAnsi="宋体" w:cs="Times New Roman"/>
                <w:b w:val="0"/>
                <w:bCs w:val="0"/>
                <w:color w:val="auto"/>
                <w:spacing w:val="5"/>
                <w:kern w:val="2"/>
                <w:sz w:val="24"/>
                <w:szCs w:val="25"/>
                <w:lang w:val="zh-CN" w:eastAsia="zh-CN" w:bidi="ar-SA"/>
              </w:rPr>
              <w:t>“</w:t>
            </w:r>
            <w:r>
              <w:rPr>
                <w:rFonts w:hint="eastAsia" w:ascii="Times New Roman" w:hAnsi="宋体" w:eastAsia="宋体" w:cs="Times New Roman"/>
                <w:b w:val="0"/>
                <w:bCs w:val="0"/>
                <w:color w:val="auto"/>
                <w:spacing w:val="5"/>
                <w:kern w:val="2"/>
                <w:sz w:val="24"/>
                <w:szCs w:val="25"/>
                <w:lang w:val="zh-CN" w:eastAsia="zh-CN" w:bidi="ar-SA"/>
              </w:rPr>
              <w:t>十四五</w:t>
            </w:r>
            <w:r>
              <w:rPr>
                <w:rFonts w:hint="eastAsia" w:hAnsi="宋体" w:cs="Times New Roman"/>
                <w:b w:val="0"/>
                <w:bCs w:val="0"/>
                <w:color w:val="auto"/>
                <w:spacing w:val="5"/>
                <w:kern w:val="2"/>
                <w:sz w:val="24"/>
                <w:szCs w:val="25"/>
                <w:lang w:val="zh-CN" w:eastAsia="zh-CN" w:bidi="ar-SA"/>
              </w:rPr>
              <w:t>”</w:t>
            </w:r>
            <w:r>
              <w:rPr>
                <w:rFonts w:hint="eastAsia" w:ascii="Times New Roman" w:hAnsi="宋体" w:eastAsia="宋体" w:cs="Times New Roman"/>
                <w:b w:val="0"/>
                <w:bCs w:val="0"/>
                <w:color w:val="auto"/>
                <w:spacing w:val="5"/>
                <w:kern w:val="2"/>
                <w:sz w:val="24"/>
                <w:szCs w:val="25"/>
                <w:lang w:val="zh-CN" w:eastAsia="zh-CN" w:bidi="ar-SA"/>
              </w:rPr>
              <w:t>生态环境保护规划</w:t>
            </w:r>
            <w:r>
              <w:rPr>
                <w:rFonts w:hint="eastAsia" w:ascii="Times New Roman" w:hAnsi="宋体" w:eastAsia="宋体" w:cs="Times New Roman"/>
                <w:b w:val="0"/>
                <w:bCs w:val="0"/>
                <w:color w:val="auto"/>
                <w:spacing w:val="5"/>
                <w:kern w:val="2"/>
                <w:sz w:val="24"/>
                <w:szCs w:val="25"/>
                <w:lang w:val="en-US" w:eastAsia="zh-CN" w:bidi="ar-SA"/>
              </w:rPr>
              <w:t>》，本项目与其符合性分析见表1-4。</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251" w:firstLineChars="100"/>
              <w:jc w:val="both"/>
              <w:textAlignment w:val="auto"/>
              <w:rPr>
                <w:rFonts w:hint="default" w:ascii="Times New Roman" w:hAnsi="宋体" w:eastAsia="宋体" w:cs="Times New Roman"/>
                <w:b/>
                <w:bCs/>
                <w:color w:val="auto"/>
                <w:spacing w:val="5"/>
                <w:kern w:val="2"/>
                <w:sz w:val="24"/>
                <w:szCs w:val="25"/>
                <w:lang w:val="en-US" w:eastAsia="zh-CN" w:bidi="ar-SA"/>
              </w:rPr>
            </w:pPr>
            <w:r>
              <w:rPr>
                <w:rFonts w:hint="eastAsia" w:ascii="Times New Roman" w:hAnsi="宋体" w:eastAsia="宋体" w:cs="Times New Roman"/>
                <w:b/>
                <w:bCs/>
                <w:color w:val="auto"/>
                <w:spacing w:val="5"/>
                <w:kern w:val="2"/>
                <w:sz w:val="24"/>
                <w:szCs w:val="25"/>
                <w:lang w:val="en-US" w:eastAsia="zh-CN" w:bidi="ar-SA"/>
              </w:rPr>
              <w:t>表1-4 项目与</w:t>
            </w:r>
            <w:r>
              <w:rPr>
                <w:rFonts w:hint="eastAsia" w:hAnsi="宋体" w:cs="Times New Roman"/>
                <w:b/>
                <w:bCs/>
                <w:color w:val="auto"/>
                <w:spacing w:val="5"/>
                <w:kern w:val="2"/>
                <w:sz w:val="24"/>
                <w:szCs w:val="25"/>
                <w:lang w:val="en-US" w:eastAsia="zh-CN" w:bidi="ar-SA"/>
              </w:rPr>
              <w:t>临夏</w:t>
            </w:r>
            <w:r>
              <w:rPr>
                <w:rFonts w:hint="eastAsia" w:ascii="Times New Roman" w:hAnsi="宋体" w:eastAsia="宋体" w:cs="Times New Roman"/>
                <w:b/>
                <w:bCs/>
                <w:color w:val="auto"/>
                <w:spacing w:val="5"/>
                <w:kern w:val="2"/>
                <w:sz w:val="24"/>
                <w:szCs w:val="25"/>
                <w:lang w:val="en-US" w:eastAsia="zh-CN" w:bidi="ar-SA"/>
              </w:rPr>
              <w:t>州</w:t>
            </w:r>
            <w:r>
              <w:rPr>
                <w:rFonts w:hint="eastAsia" w:hAnsi="宋体" w:cs="Times New Roman"/>
                <w:b/>
                <w:bCs/>
                <w:color w:val="auto"/>
                <w:spacing w:val="5"/>
                <w:kern w:val="2"/>
                <w:sz w:val="24"/>
                <w:szCs w:val="25"/>
                <w:lang w:val="en-US" w:eastAsia="zh-CN" w:bidi="ar-SA"/>
              </w:rPr>
              <w:t>“</w:t>
            </w:r>
            <w:r>
              <w:rPr>
                <w:rFonts w:hint="eastAsia" w:ascii="Times New Roman" w:hAnsi="宋体" w:eastAsia="宋体" w:cs="Times New Roman"/>
                <w:b/>
                <w:bCs/>
                <w:color w:val="auto"/>
                <w:spacing w:val="5"/>
                <w:kern w:val="2"/>
                <w:sz w:val="24"/>
                <w:szCs w:val="25"/>
                <w:lang w:val="en-US" w:eastAsia="zh-CN" w:bidi="ar-SA"/>
              </w:rPr>
              <w:t>十四五</w:t>
            </w:r>
            <w:r>
              <w:rPr>
                <w:rFonts w:hint="eastAsia" w:hAnsi="宋体" w:cs="Times New Roman"/>
                <w:b/>
                <w:bCs/>
                <w:color w:val="auto"/>
                <w:spacing w:val="5"/>
                <w:kern w:val="2"/>
                <w:sz w:val="24"/>
                <w:szCs w:val="25"/>
                <w:lang w:val="en-US" w:eastAsia="zh-CN" w:bidi="ar-SA"/>
              </w:rPr>
              <w:t>”</w:t>
            </w:r>
            <w:r>
              <w:rPr>
                <w:rFonts w:hint="eastAsia" w:ascii="Times New Roman" w:hAnsi="宋体" w:eastAsia="宋体" w:cs="Times New Roman"/>
                <w:b/>
                <w:bCs/>
                <w:color w:val="auto"/>
                <w:spacing w:val="5"/>
                <w:kern w:val="2"/>
                <w:sz w:val="24"/>
                <w:szCs w:val="25"/>
                <w:lang w:val="en-US" w:eastAsia="zh-CN" w:bidi="ar-SA"/>
              </w:rPr>
              <w:t>生态环境保护规划符合性</w:t>
            </w:r>
          </w:p>
          <w:tbl>
            <w:tblPr>
              <w:tblStyle w:val="24"/>
              <w:tblW w:w="668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25"/>
              <w:gridCol w:w="3139"/>
              <w:gridCol w:w="1744"/>
              <w:gridCol w:w="10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725"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章节</w:t>
                  </w:r>
                </w:p>
              </w:tc>
              <w:tc>
                <w:tcPr>
                  <w:tcW w:w="3139"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内容</w:t>
                  </w:r>
                </w:p>
              </w:tc>
              <w:tc>
                <w:tcPr>
                  <w:tcW w:w="1744"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本项目情况</w:t>
                  </w:r>
                </w:p>
              </w:tc>
              <w:tc>
                <w:tcPr>
                  <w:tcW w:w="1077"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符合性分析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725"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第三章坚持发展与保护并重，推动高质量发展</w:t>
                  </w:r>
                </w:p>
              </w:tc>
              <w:tc>
                <w:tcPr>
                  <w:tcW w:w="3139"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二、加强生态环境分区管控</w:t>
                  </w:r>
                </w:p>
                <w:p>
                  <w:pPr>
                    <w:pageBreakBefore w:val="0"/>
                    <w:widowControl w:val="0"/>
                    <w:kinsoku/>
                    <w:wordWrap/>
                    <w:overflowPunct/>
                    <w:topLinePunct w:val="0"/>
                    <w:autoSpaceDE/>
                    <w:autoSpaceDN/>
                    <w:bidi w:val="0"/>
                    <w:adjustRightInd w:val="0"/>
                    <w:snapToGrid w:val="0"/>
                    <w:spacing w:line="240" w:lineRule="auto"/>
                    <w:ind w:right="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严格落实主体功能区战略，强化国土空间规划和用途管控，统筹划定并严守生态保护红线、永久基本农田、城镇开发边界等空间管控边界。严守临夏州生态保护红线、环境质量底线、资源利用上线和生态环境准入清单，建立完善</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三线一单</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生态环境分区管控体系，健全动态更新与调整机制，将</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三线一单</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作为全州资源开发、产业发展、重大项目建设和布局的重要依据。二、不断优化产业布局</w:t>
                  </w:r>
                </w:p>
                <w:p>
                  <w:pPr>
                    <w:pageBreakBefore w:val="0"/>
                    <w:widowControl w:val="0"/>
                    <w:kinsoku/>
                    <w:wordWrap/>
                    <w:overflowPunct/>
                    <w:topLinePunct w:val="0"/>
                    <w:autoSpaceDE/>
                    <w:autoSpaceDN/>
                    <w:bidi w:val="0"/>
                    <w:adjustRightInd w:val="0"/>
                    <w:snapToGrid w:val="0"/>
                    <w:spacing w:line="240" w:lineRule="auto"/>
                    <w:ind w:right="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以资源环境承载力为前提，衔接</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三线一单</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生态环境分区管控要求，推动生产空间集约高效、生活空间宜居适度、生态空间山清水秀。</w:t>
                  </w:r>
                </w:p>
              </w:tc>
              <w:tc>
                <w:tcPr>
                  <w:tcW w:w="1744"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三线一单选址分析结果</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，项目为和政县重点管控单元，项目的建设符合三线一单空间布局、资源利用要求、污染物管控等要求；项目位于和政县循环经济产业园，符合园区产业要求</w:t>
                  </w:r>
                </w:p>
              </w:tc>
              <w:tc>
                <w:tcPr>
                  <w:tcW w:w="1077"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725" w:type="dxa"/>
                  <w:vMerge w:val="restar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第六章强化多污染物协同控制，巩固改善大气环境质量</w:t>
                  </w:r>
                </w:p>
              </w:tc>
              <w:tc>
                <w:tcPr>
                  <w:tcW w:w="3139" w:type="dxa"/>
                  <w:tcBorders>
                    <w:tl2br w:val="nil"/>
                    <w:tr2bl w:val="nil"/>
                  </w:tcBorders>
                  <w:noWrap w:val="0"/>
                  <w:vAlign w:val="center"/>
                </w:tcPr>
                <w:p>
                  <w:pPr>
                    <w:pageBreakBefore w:val="0"/>
                    <w:widowControl w:val="0"/>
                    <w:kinsoku/>
                    <w:wordWrap/>
                    <w:overflowPunct/>
                    <w:topLinePunct w:val="0"/>
                    <w:autoSpaceDE/>
                    <w:autoSpaceDN/>
                    <w:bidi w:val="0"/>
                    <w:spacing w:line="240" w:lineRule="auto"/>
                    <w:ind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二、推动多污染源协同控制：</w:t>
                  </w:r>
                </w:p>
                <w:p>
                  <w:pPr>
                    <w:pageBreakBefore w:val="0"/>
                    <w:widowControl w:val="0"/>
                    <w:kinsoku/>
                    <w:wordWrap/>
                    <w:overflowPunct/>
                    <w:topLinePunct w:val="0"/>
                    <w:autoSpaceDE/>
                    <w:autoSpaceDN/>
                    <w:bidi w:val="0"/>
                    <w:spacing w:line="240" w:lineRule="auto"/>
                    <w:ind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（一）加强工业大气污染物防治</w:t>
                  </w:r>
                </w:p>
                <w:p>
                  <w:pPr>
                    <w:pageBreakBefore w:val="0"/>
                    <w:widowControl w:val="0"/>
                    <w:kinsoku/>
                    <w:wordWrap/>
                    <w:overflowPunct/>
                    <w:topLinePunct w:val="0"/>
                    <w:autoSpaceDE/>
                    <w:autoSpaceDN/>
                    <w:bidi w:val="0"/>
                    <w:spacing w:line="240" w:lineRule="auto"/>
                    <w:ind w:right="0"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建立</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散、乱、污</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企业动态管理机制，定期开展拉网式排查，严格落实关停取缔、整合搬迁、整改提升等措施，实现</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散、乱、污</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企业</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动态清零</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。按照</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淘汰一批、替代一批、治理一批</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的原则，继续开展炉窑深度治理。严格执行行业排放标准，落实排污许可证相关要求，分行业清理《产业结构调整指导目录》淘汰类工业炉窑，依法关停不达标炉窑。加快淘汰燃煤工业炉窑，积极开展工业炉窑燃料清洁化低碳化替代。推进新建工业园区和经济开发区清洁能源改造。推进燃煤锅炉升级改造，2024年底，全州65蒸吨/小时及以上燃煤锅炉（含电力）全面实施超低排放。</w:t>
                  </w:r>
                </w:p>
              </w:tc>
              <w:tc>
                <w:tcPr>
                  <w:tcW w:w="1744"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项目锅炉使用清洁能源-天然气，且锅炉配套氮燃烧器，废气经8m</w:t>
                  </w:r>
                  <w:r>
                    <w:rPr>
                      <w:rFonts w:hint="eastAsia" w:cs="Times New Roman"/>
                      <w:color w:val="auto"/>
                      <w:sz w:val="21"/>
                      <w:szCs w:val="21"/>
                      <w:highlight w:val="none"/>
                      <w:lang w:val="en-US" w:eastAsia="zh-CN"/>
                    </w:rPr>
                    <w:t>烟囱</w:t>
                  </w:r>
                  <w:r>
                    <w:rPr>
                      <w:rFonts w:hint="default" w:ascii="Times New Roman" w:hAnsi="Times New Roman" w:eastAsia="宋体" w:cs="Times New Roman"/>
                      <w:color w:val="auto"/>
                      <w:sz w:val="21"/>
                      <w:szCs w:val="21"/>
                      <w:highlight w:val="none"/>
                      <w:lang w:val="en-US" w:eastAsia="zh-CN"/>
                    </w:rPr>
                    <w:t>排空，发酵废气</w:t>
                  </w:r>
                  <w:r>
                    <w:rPr>
                      <w:rFonts w:hint="eastAsia" w:cs="Times New Roman"/>
                      <w:color w:val="auto"/>
                      <w:sz w:val="21"/>
                      <w:szCs w:val="21"/>
                      <w:highlight w:val="none"/>
                      <w:lang w:val="en-US" w:eastAsia="zh-CN"/>
                    </w:rPr>
                    <w:t>、面粉投加粉尘</w:t>
                  </w:r>
                  <w:r>
                    <w:rPr>
                      <w:rFonts w:hint="default" w:ascii="Times New Roman" w:hAnsi="Times New Roman" w:eastAsia="宋体" w:cs="Times New Roman"/>
                      <w:color w:val="auto"/>
                      <w:sz w:val="21"/>
                      <w:szCs w:val="21"/>
                      <w:highlight w:val="none"/>
                      <w:lang w:val="en-US" w:eastAsia="zh-CN"/>
                    </w:rPr>
                    <w:t>产生量较小，经生产车间</w:t>
                  </w:r>
                  <w:r>
                    <w:rPr>
                      <w:rFonts w:hint="eastAsia" w:cs="Times New Roman"/>
                      <w:color w:val="auto"/>
                      <w:sz w:val="21"/>
                      <w:szCs w:val="21"/>
                      <w:highlight w:val="none"/>
                      <w:lang w:val="en-US" w:eastAsia="zh-CN"/>
                    </w:rPr>
                    <w:t>空气净化</w:t>
                  </w:r>
                  <w:r>
                    <w:rPr>
                      <w:rFonts w:hint="default" w:ascii="Times New Roman" w:hAnsi="Times New Roman" w:eastAsia="宋体" w:cs="Times New Roman"/>
                      <w:color w:val="auto"/>
                      <w:sz w:val="21"/>
                      <w:szCs w:val="21"/>
                      <w:highlight w:val="none"/>
                      <w:lang w:val="en-US" w:eastAsia="zh-CN"/>
                    </w:rPr>
                    <w:t>系统以无组织形式排放；</w:t>
                  </w:r>
                  <w:r>
                    <w:rPr>
                      <w:rFonts w:hint="eastAsia" w:cs="Times New Roman"/>
                      <w:color w:val="auto"/>
                      <w:sz w:val="21"/>
                      <w:szCs w:val="21"/>
                      <w:highlight w:val="none"/>
                      <w:lang w:val="en-US" w:eastAsia="zh-CN"/>
                    </w:rPr>
                    <w:t>食堂油烟经油烟净化器处理后经专属管道排空；污水处理恶臭经设置地埋一体式污水处理设备及喷洒生物除臭剂，恶臭气体排放量较小</w:t>
                  </w:r>
                </w:p>
              </w:tc>
              <w:tc>
                <w:tcPr>
                  <w:tcW w:w="1077"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725"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3139"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outlineLvl w:val="1"/>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（四）有序推进冬季清洁取暖</w:t>
                  </w:r>
                </w:p>
                <w:p>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outlineLvl w:val="1"/>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以国家实施北方地区冬季清洁取暖试点项目为契机，积极争取实施北方地区冬季清洁取暖项目，在全州大力推广冬季清洁取暖。持续开展燃煤锅炉淘汰整治，推进燃煤供暖设施清洁化改造，不断提升清洁取暖水平。推动实施燃气锅炉低氮改造。结合县（市）城区总体规划和发展实际，优化集中供热管网规划建设，优先发展集中供暖，并逐步扩大天然气、电力等清洁能源使用占比，推动建立多能互补的清洁供热设施体系。严格控制新建燃煤锅炉，在集中供热管网覆盖区域内不再审批原煤散烧供热锅炉。集中供热和燃气管网难以覆盖区域，加快实施各类分散式清洁供暖，在确保群众取暖安全的前提下，按照清洁替代、经济适用、居民可承受和宜电则电、宜气则气、宜煤则煤的原则，综合采用各类分散清洁取暖方式，积极推广空气源热泵、</w:t>
                  </w:r>
                  <w:r>
                    <w:rPr>
                      <w:rFonts w:hint="eastAsia"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太阳能+</w:t>
                  </w:r>
                  <w:r>
                    <w:rPr>
                      <w:rFonts w:hint="eastAsia"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等采暖新技术，替代传统燃煤取暖。</w:t>
                  </w:r>
                </w:p>
              </w:tc>
              <w:tc>
                <w:tcPr>
                  <w:tcW w:w="1744"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项目冬季供暖使用空气源热泵，项目供汽使用1台蒸汽锅炉，燃料使用清洁能源-天然气，且锅炉配套氮燃烧器，废气经8m</w:t>
                  </w:r>
                  <w:r>
                    <w:rPr>
                      <w:rFonts w:hint="eastAsia" w:cs="Times New Roman"/>
                      <w:color w:val="auto"/>
                      <w:sz w:val="21"/>
                      <w:szCs w:val="21"/>
                      <w:highlight w:val="none"/>
                      <w:lang w:val="en-US" w:eastAsia="zh-CN"/>
                    </w:rPr>
                    <w:t>烟囱</w:t>
                  </w:r>
                  <w:r>
                    <w:rPr>
                      <w:rFonts w:hint="default" w:ascii="Times New Roman" w:hAnsi="Times New Roman" w:eastAsia="宋体" w:cs="Times New Roman"/>
                      <w:color w:val="auto"/>
                      <w:sz w:val="21"/>
                      <w:szCs w:val="21"/>
                      <w:highlight w:val="none"/>
                      <w:lang w:val="en-US" w:eastAsia="zh-CN"/>
                    </w:rPr>
                    <w:t>排空</w:t>
                  </w:r>
                </w:p>
              </w:tc>
              <w:tc>
                <w:tcPr>
                  <w:tcW w:w="1077"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725"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3139"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（五）推进扬尘精细化管控</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全面推行绿色施工，将绿色施工纳入企业资质评价、信用评价，将防治扬尘污染费用纳入工程造价。持续加强施工扬尘常态化监管，以城市建成区及周边为重点，全面落实</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六个百分百</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抑尘措施。进一步规范扬尘管控措施，严格采用合规防尘网进行场地覆盖，并及时更新老旧防尘网。加强裸露地块治理，鼓励利用新型环保抑尘剂减少扬尘来源。加强硬化绿化抑尘和道路绿化用地扬尘治理，强化煤场、料场、渣场等堆场扬尘管控，规范存储和运输防尘措施</w:t>
                  </w:r>
                </w:p>
              </w:tc>
              <w:tc>
                <w:tcPr>
                  <w:tcW w:w="1744"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施工期间按照</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六个百分百</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抑尘措施，减少无组织粉尘的产生量</w:t>
                  </w:r>
                </w:p>
              </w:tc>
              <w:tc>
                <w:tcPr>
                  <w:tcW w:w="1077"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725"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3139" w:type="dxa"/>
                  <w:tcBorders>
                    <w:tl2br w:val="nil"/>
                    <w:tr2bl w:val="nil"/>
                  </w:tcBorders>
                  <w:noWrap w:val="0"/>
                  <w:vAlign w:val="center"/>
                </w:tcPr>
                <w:p>
                  <w:pPr>
                    <w:pageBreakBefore w:val="0"/>
                    <w:widowControl w:val="0"/>
                    <w:kinsoku/>
                    <w:wordWrap/>
                    <w:overflowPunct/>
                    <w:topLinePunct w:val="0"/>
                    <w:autoSpaceDE/>
                    <w:autoSpaceDN/>
                    <w:bidi w:val="0"/>
                    <w:spacing w:line="240" w:lineRule="auto"/>
                    <w:ind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四、推动噪声污染防治</w:t>
                  </w:r>
                </w:p>
                <w:p>
                  <w:pPr>
                    <w:pStyle w:val="2"/>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加强重点工业企业声监测，加大对噪声污染违法案件的处罚力度；积极解决噪声扰民问题，在噪声敏感建筑集中区域逐步配套建设隔声屏障，严格落实禁鸣、限行、限速等措施，鼓励创建安静小区，力争实现涉及噪声信访投诉总量持续下降。</w:t>
                  </w:r>
                </w:p>
              </w:tc>
              <w:tc>
                <w:tcPr>
                  <w:tcW w:w="1744"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项目使用低噪声设备，基础减振、厂房隔声，锅炉房安装隔声门窗等措施，可极大减少噪声对声环境影响，运营期将按照监测计划委托有资质单位进行监测</w:t>
                  </w:r>
                </w:p>
              </w:tc>
              <w:tc>
                <w:tcPr>
                  <w:tcW w:w="1077"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725" w:type="dxa"/>
                  <w:vMerge w:val="restar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第九章强化风险防控，提高突发环境事件应急水平</w:t>
                  </w:r>
                </w:p>
              </w:tc>
              <w:tc>
                <w:tcPr>
                  <w:tcW w:w="3139"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一、加强固体废物污染防治</w:t>
                  </w:r>
                </w:p>
                <w:p>
                  <w:pPr>
                    <w:pageBreakBefore w:val="0"/>
                    <w:widowControl w:val="0"/>
                    <w:kinsoku/>
                    <w:wordWrap/>
                    <w:overflowPunct/>
                    <w:topLinePunct w:val="0"/>
                    <w:autoSpaceDE/>
                    <w:autoSpaceDN/>
                    <w:bidi w:val="0"/>
                    <w:adjustRightInd w:val="0"/>
                    <w:snapToGrid w:val="0"/>
                    <w:spacing w:line="240" w:lineRule="auto"/>
                    <w:ind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（一）全面推动工业固体废物综合利用</w:t>
                  </w:r>
                </w:p>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加强源头管控，对固体废物产生量大且本地无法就近处置的项目，建设项目环境影响评价审批应从严把关。严格控制新建、扩建固体废物产生量大、区域难以实现有效综合利用和无害化处置的项目。建立工业固体废物管理台账，如实记录产生工业固体废物的种类、数量、流向、贮存、利用、处置等信息，实现工业固体废物可追溯、可查询。全面摸底调查和整治工业固体废物堆存场所，逐步减少历史遗留固体废物贮存处置总量。稳步推进建筑垃圾处理处置。加强区域内的建筑垃圾管理工作，对建筑垃圾倾倒、堆放、贮存、运输、消纳、利用等处置活动实施监督管理，提升建筑垃圾治理的智能化、现代化水平。</w:t>
                  </w:r>
                </w:p>
              </w:tc>
              <w:tc>
                <w:tcPr>
                  <w:tcW w:w="1744"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产生的分拣杂质</w:t>
                  </w:r>
                  <w:r>
                    <w:rPr>
                      <w:rFonts w:hint="eastAsia" w:cs="Times New Roman"/>
                      <w:color w:val="auto"/>
                      <w:sz w:val="21"/>
                      <w:szCs w:val="21"/>
                      <w:highlight w:val="none"/>
                      <w:lang w:val="en-US" w:eastAsia="zh-CN"/>
                    </w:rPr>
                    <w:t>、过滤杂质</w:t>
                  </w:r>
                  <w:r>
                    <w:rPr>
                      <w:rFonts w:hint="default" w:ascii="Times New Roman" w:hAnsi="Times New Roman" w:eastAsia="宋体" w:cs="Times New Roman"/>
                      <w:color w:val="auto"/>
                      <w:sz w:val="21"/>
                      <w:szCs w:val="21"/>
                      <w:highlight w:val="none"/>
                      <w:lang w:val="en-US" w:eastAsia="zh-CN"/>
                    </w:rPr>
                    <w:t>作为牛羊饲料赠与周边农户，生活垃圾</w:t>
                  </w:r>
                  <w:r>
                    <w:rPr>
                      <w:rFonts w:hint="eastAsia" w:cs="Times New Roman"/>
                      <w:color w:val="auto"/>
                      <w:sz w:val="21"/>
                      <w:szCs w:val="21"/>
                      <w:highlight w:val="none"/>
                      <w:lang w:val="en-US" w:eastAsia="zh-CN"/>
                    </w:rPr>
                    <w:t>收集后</w:t>
                  </w:r>
                  <w:r>
                    <w:rPr>
                      <w:rFonts w:hint="default" w:ascii="Times New Roman" w:hAnsi="Times New Roman" w:eastAsia="宋体" w:cs="Times New Roman"/>
                      <w:color w:val="auto"/>
                      <w:sz w:val="21"/>
                      <w:szCs w:val="21"/>
                      <w:highlight w:val="none"/>
                      <w:lang w:val="en-US" w:eastAsia="zh-CN"/>
                    </w:rPr>
                    <w:t>交园区环卫部门收集处置</w:t>
                  </w:r>
                  <w:r>
                    <w:rPr>
                      <w:rFonts w:hint="eastAsia" w:cs="Times New Roman"/>
                      <w:color w:val="auto"/>
                      <w:sz w:val="21"/>
                      <w:szCs w:val="21"/>
                      <w:highlight w:val="none"/>
                      <w:lang w:val="en-US" w:eastAsia="zh-CN"/>
                    </w:rPr>
                    <w:t>，污泥脱水后拉运至当地垃圾填埋场处置，</w:t>
                  </w:r>
                  <w:r>
                    <w:rPr>
                      <w:rFonts w:hint="eastAsia" w:ascii="Times New Roman" w:eastAsia="宋体"/>
                      <w:color w:val="auto"/>
                      <w:sz w:val="21"/>
                      <w:szCs w:val="21"/>
                      <w:lang w:val="en-US" w:eastAsia="zh-CN"/>
                    </w:rPr>
                    <w:t>不合格浆水人工</w:t>
                  </w:r>
                  <w:r>
                    <w:rPr>
                      <w:rFonts w:hint="eastAsia" w:ascii="Times New Roman"/>
                      <w:color w:val="auto"/>
                      <w:sz w:val="21"/>
                      <w:szCs w:val="21"/>
                      <w:lang w:val="en-US" w:eastAsia="zh-CN"/>
                    </w:rPr>
                    <w:t>去除</w:t>
                  </w:r>
                  <w:r>
                    <w:rPr>
                      <w:rFonts w:hint="eastAsia" w:ascii="Times New Roman" w:eastAsia="宋体"/>
                      <w:color w:val="auto"/>
                      <w:sz w:val="21"/>
                      <w:szCs w:val="21"/>
                      <w:lang w:val="en-US" w:eastAsia="zh-CN"/>
                    </w:rPr>
                    <w:t>包装后，浆水汇入污水处理站处理，外包装集中收集后交园区环卫部门处置，不合格酸菜收集后作为餐厨垃圾交由有资质单位处置</w:t>
                  </w:r>
                  <w:r>
                    <w:rPr>
                      <w:rFonts w:hint="eastAsia" w:cs="Times New Roman"/>
                      <w:color w:val="auto"/>
                      <w:sz w:val="18"/>
                      <w:szCs w:val="18"/>
                      <w:highlight w:val="none"/>
                      <w:lang w:val="en-US" w:eastAsia="zh-CN"/>
                    </w:rPr>
                    <w:t>，</w:t>
                  </w:r>
                  <w:r>
                    <w:rPr>
                      <w:rFonts w:hint="eastAsia" w:cs="Times New Roman"/>
                      <w:color w:val="auto"/>
                      <w:sz w:val="21"/>
                      <w:szCs w:val="21"/>
                      <w:highlight w:val="none"/>
                      <w:lang w:val="en-US" w:eastAsia="zh-CN"/>
                    </w:rPr>
                    <w:t>纯水制备更换的滤芯交厂家上门回收处置，</w:t>
                  </w:r>
                  <w:r>
                    <w:rPr>
                      <w:rFonts w:hint="eastAsia" w:ascii="Times New Roman" w:hAnsi="Times New Roman" w:eastAsia="宋体" w:cs="Times New Roman"/>
                      <w:color w:val="auto"/>
                      <w:sz w:val="21"/>
                      <w:szCs w:val="21"/>
                      <w:lang w:val="en-US" w:eastAsia="zh-CN"/>
                    </w:rPr>
                    <w:t>废包装材料分类收集后有价值的外售废品回收站，无利用价值的交由园区环卫部门处置</w:t>
                  </w:r>
                </w:p>
              </w:tc>
              <w:tc>
                <w:tcPr>
                  <w:tcW w:w="1077"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725"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139"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四、强化应急体系建设</w:t>
                  </w:r>
                </w:p>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加强隐患排查治理，严密防控危险废物、有毒有害化学品等环境风险。加强黄河流域环境风险综合管控，建立健全</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一河一策一图</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应急响应方案。深化企业突发环境事件风险评估制度，推进突发环境事件风险分类分级管理，严格重大突发环境事件风险企业监管，实施企业环境应急预案电子化备案。</w:t>
                  </w:r>
                </w:p>
              </w:tc>
              <w:tc>
                <w:tcPr>
                  <w:tcW w:w="1744"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eastAsia"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lang w:val="en-US" w:eastAsia="zh-CN"/>
                    </w:rPr>
                    <w:t>储存、生产有毒有害物质，本项目建成后可按照《企业事业单位突发环境事件应急预案备案管理办法（试行）》中相关要求开展突发环境事件应急预案编制工作。</w:t>
                  </w:r>
                </w:p>
              </w:tc>
              <w:tc>
                <w:tcPr>
                  <w:tcW w:w="1077" w:type="dxa"/>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bl>
          <w:p>
            <w:pPr>
              <w:bidi w:val="0"/>
              <w:ind w:firstLine="480" w:firstLineChars="200"/>
              <w:rPr>
                <w:rFonts w:hint="default"/>
                <w:color w:val="auto"/>
                <w:lang w:val="en-US" w:eastAsia="zh-CN"/>
              </w:rPr>
            </w:pPr>
            <w:r>
              <w:rPr>
                <w:rFonts w:hint="eastAsia"/>
                <w:color w:val="auto"/>
                <w:lang w:val="en-US" w:eastAsia="zh-CN"/>
              </w:rPr>
              <w:t>根据上表</w:t>
            </w:r>
            <w:r>
              <w:rPr>
                <w:rFonts w:hint="default"/>
                <w:color w:val="auto"/>
                <w:lang w:val="en-US" w:eastAsia="zh-CN"/>
              </w:rPr>
              <w:t>可知，本项目能够满足《</w:t>
            </w:r>
            <w:r>
              <w:rPr>
                <w:rFonts w:hint="eastAsia"/>
                <w:color w:val="auto"/>
                <w:lang w:val="en-US" w:eastAsia="zh-CN"/>
              </w:rPr>
              <w:t>临夏</w:t>
            </w:r>
            <w:r>
              <w:rPr>
                <w:rFonts w:hint="default"/>
                <w:color w:val="auto"/>
                <w:lang w:val="en-US" w:eastAsia="zh-CN"/>
              </w:rPr>
              <w:t>州</w:t>
            </w:r>
            <w:r>
              <w:rPr>
                <w:rFonts w:hint="eastAsia"/>
                <w:color w:val="auto"/>
                <w:lang w:val="en-US" w:eastAsia="zh-CN"/>
              </w:rPr>
              <w:t>“</w:t>
            </w:r>
            <w:r>
              <w:rPr>
                <w:rFonts w:hint="default"/>
                <w:color w:val="auto"/>
                <w:lang w:val="en-US" w:eastAsia="zh-CN"/>
              </w:rPr>
              <w:t>十四五</w:t>
            </w:r>
            <w:r>
              <w:rPr>
                <w:rFonts w:hint="eastAsia"/>
                <w:color w:val="auto"/>
                <w:lang w:val="en-US" w:eastAsia="zh-CN"/>
              </w:rPr>
              <w:t>”</w:t>
            </w:r>
            <w:r>
              <w:rPr>
                <w:rFonts w:hint="default"/>
                <w:color w:val="auto"/>
                <w:lang w:val="en-US" w:eastAsia="zh-CN"/>
              </w:rPr>
              <w:t>生态环境保护规划》中的要求，与该规划符合。</w:t>
            </w:r>
          </w:p>
          <w:p>
            <w:pPr>
              <w:autoSpaceDE w:val="0"/>
              <w:autoSpaceDN w:val="0"/>
              <w:adjustRightInd w:val="0"/>
              <w:snapToGrid w:val="0"/>
              <w:rPr>
                <w:rFonts w:hint="eastAsia" w:ascii="宋体" w:hAnsi="宋体" w:cs="宋体"/>
                <w:color w:val="auto"/>
                <w:kern w:val="0"/>
                <w:szCs w:val="21"/>
              </w:rPr>
            </w:pPr>
          </w:p>
          <w:p>
            <w:pPr>
              <w:autoSpaceDE w:val="0"/>
              <w:autoSpaceDN w:val="0"/>
              <w:adjustRightInd w:val="0"/>
              <w:snapToGrid w:val="0"/>
              <w:rPr>
                <w:rFonts w:hint="eastAsia" w:ascii="宋体" w:hAnsi="宋体" w:cs="宋体"/>
                <w:color w:val="auto"/>
                <w:kern w:val="0"/>
                <w:szCs w:val="21"/>
                <w:lang w:val="en-US" w:eastAsia="zh-CN"/>
              </w:rPr>
            </w:pPr>
          </w:p>
          <w:p>
            <w:pPr>
              <w:autoSpaceDE w:val="0"/>
              <w:autoSpaceDN w:val="0"/>
              <w:adjustRightInd w:val="0"/>
              <w:snapToGrid w:val="0"/>
              <w:rPr>
                <w:rFonts w:hint="eastAsia" w:ascii="宋体" w:hAnsi="宋体" w:cs="宋体"/>
                <w:color w:val="auto"/>
                <w:kern w:val="0"/>
                <w:szCs w:val="21"/>
                <w:lang w:val="en-US" w:eastAsia="zh-CN"/>
              </w:rPr>
            </w:pPr>
          </w:p>
          <w:p>
            <w:pPr>
              <w:autoSpaceDE w:val="0"/>
              <w:autoSpaceDN w:val="0"/>
              <w:adjustRightInd w:val="0"/>
              <w:snapToGrid w:val="0"/>
              <w:rPr>
                <w:rFonts w:hint="eastAsia" w:ascii="宋体" w:hAnsi="宋体" w:cs="宋体"/>
                <w:color w:val="auto"/>
                <w:kern w:val="0"/>
                <w:szCs w:val="21"/>
                <w:lang w:val="en-US" w:eastAsia="zh-CN"/>
              </w:rPr>
            </w:pPr>
          </w:p>
          <w:p>
            <w:pPr>
              <w:autoSpaceDE w:val="0"/>
              <w:autoSpaceDN w:val="0"/>
              <w:adjustRightInd w:val="0"/>
              <w:snapToGrid w:val="0"/>
              <w:rPr>
                <w:rFonts w:hint="eastAsia" w:ascii="宋体" w:hAnsi="宋体" w:cs="宋体"/>
                <w:color w:val="auto"/>
                <w:kern w:val="0"/>
                <w:szCs w:val="21"/>
                <w:lang w:val="en-US" w:eastAsia="zh-CN"/>
              </w:rPr>
            </w:pPr>
          </w:p>
          <w:p>
            <w:pPr>
              <w:autoSpaceDE w:val="0"/>
              <w:autoSpaceDN w:val="0"/>
              <w:adjustRightInd w:val="0"/>
              <w:snapToGrid w:val="0"/>
              <w:rPr>
                <w:rFonts w:hint="eastAsia" w:ascii="宋体" w:hAnsi="宋体" w:cs="宋体"/>
                <w:color w:val="auto"/>
                <w:kern w:val="0"/>
                <w:szCs w:val="21"/>
                <w:lang w:val="en-US" w:eastAsia="zh-CN"/>
              </w:rPr>
            </w:pPr>
          </w:p>
          <w:p>
            <w:pPr>
              <w:pStyle w:val="34"/>
              <w:rPr>
                <w:rFonts w:hint="eastAsia" w:ascii="宋体" w:hAnsi="宋体" w:cs="宋体"/>
                <w:color w:val="auto"/>
                <w:kern w:val="0"/>
                <w:szCs w:val="21"/>
                <w:lang w:val="en-US" w:eastAsia="zh-CN"/>
              </w:rPr>
            </w:pPr>
          </w:p>
          <w:p>
            <w:pPr>
              <w:pStyle w:val="7"/>
              <w:rPr>
                <w:rFonts w:hint="eastAsia" w:ascii="宋体" w:hAnsi="宋体" w:cs="宋体"/>
                <w:color w:val="auto"/>
                <w:kern w:val="0"/>
                <w:szCs w:val="21"/>
                <w:lang w:val="en-US" w:eastAsia="zh-CN"/>
              </w:rPr>
            </w:pPr>
          </w:p>
          <w:p>
            <w:pPr>
              <w:rPr>
                <w:rFonts w:hint="eastAsia" w:ascii="宋体" w:hAnsi="宋体" w:cs="宋体"/>
                <w:color w:val="auto"/>
                <w:kern w:val="0"/>
                <w:szCs w:val="21"/>
                <w:lang w:val="en-US" w:eastAsia="zh-CN"/>
              </w:rPr>
            </w:pPr>
          </w:p>
          <w:p>
            <w:pPr>
              <w:pStyle w:val="34"/>
              <w:rPr>
                <w:rFonts w:hint="eastAsia" w:ascii="宋体" w:hAnsi="宋体" w:cs="宋体"/>
                <w:color w:val="auto"/>
                <w:kern w:val="0"/>
                <w:szCs w:val="21"/>
                <w:lang w:val="en-US" w:eastAsia="zh-CN"/>
              </w:rPr>
            </w:pPr>
          </w:p>
          <w:p>
            <w:pPr>
              <w:pStyle w:val="7"/>
              <w:rPr>
                <w:rFonts w:hint="eastAsia" w:ascii="宋体" w:hAnsi="宋体" w:cs="宋体"/>
                <w:color w:val="auto"/>
                <w:kern w:val="0"/>
                <w:szCs w:val="21"/>
                <w:lang w:val="en-US" w:eastAsia="zh-CN"/>
              </w:rPr>
            </w:pPr>
          </w:p>
          <w:p>
            <w:pPr>
              <w:rPr>
                <w:rFonts w:hint="eastAsia" w:ascii="宋体" w:hAnsi="宋体" w:cs="宋体"/>
                <w:color w:val="auto"/>
                <w:kern w:val="0"/>
                <w:szCs w:val="21"/>
                <w:lang w:val="en-US" w:eastAsia="zh-CN"/>
              </w:rPr>
            </w:pPr>
          </w:p>
          <w:p>
            <w:pPr>
              <w:pStyle w:val="34"/>
              <w:rPr>
                <w:rFonts w:hint="eastAsia" w:ascii="宋体" w:hAnsi="宋体" w:cs="宋体"/>
                <w:color w:val="auto"/>
                <w:kern w:val="0"/>
                <w:szCs w:val="21"/>
                <w:lang w:val="en-US" w:eastAsia="zh-CN"/>
              </w:rPr>
            </w:pPr>
          </w:p>
          <w:p>
            <w:pPr>
              <w:pStyle w:val="7"/>
              <w:rPr>
                <w:rFonts w:hint="eastAsia"/>
                <w:color w:val="auto"/>
                <w:lang w:val="en-US" w:eastAsia="zh-CN"/>
              </w:rPr>
            </w:pPr>
          </w:p>
          <w:p>
            <w:pPr>
              <w:autoSpaceDE w:val="0"/>
              <w:autoSpaceDN w:val="0"/>
              <w:adjustRightInd w:val="0"/>
              <w:snapToGrid w:val="0"/>
              <w:rPr>
                <w:rFonts w:hint="eastAsia" w:ascii="宋体" w:hAnsi="宋体" w:cs="宋体"/>
                <w:color w:val="auto"/>
                <w:kern w:val="0"/>
                <w:szCs w:val="21"/>
                <w:lang w:val="en-US" w:eastAsia="zh-CN"/>
              </w:rPr>
            </w:pPr>
          </w:p>
          <w:p>
            <w:pPr>
              <w:autoSpaceDE w:val="0"/>
              <w:autoSpaceDN w:val="0"/>
              <w:adjustRightInd w:val="0"/>
              <w:snapToGrid w:val="0"/>
              <w:rPr>
                <w:rFonts w:hint="eastAsia" w:ascii="宋体" w:hAnsi="宋体" w:cs="宋体"/>
                <w:color w:val="auto"/>
                <w:kern w:val="0"/>
                <w:szCs w:val="21"/>
              </w:rPr>
            </w:pPr>
          </w:p>
        </w:tc>
      </w:tr>
    </w:tbl>
    <w:p>
      <w:pPr>
        <w:bidi w:val="0"/>
        <w:rPr>
          <w:color w:val="auto"/>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widowControl/>
        <w:spacing w:before="100" w:beforeAutospacing="1" w:after="100" w:afterAutospacing="1"/>
        <w:jc w:val="center"/>
        <w:outlineLvl w:val="0"/>
        <w:rPr>
          <w:rFonts w:ascii="黑体" w:hAnsi="黑体" w:eastAsia="黑体" w:cs="Times New Roman"/>
          <w:snapToGrid w:val="0"/>
          <w:color w:val="auto"/>
          <w:kern w:val="0"/>
          <w:sz w:val="30"/>
          <w:szCs w:val="30"/>
          <w:lang w:val="en-US" w:eastAsia="zh-CN" w:bidi="ar-SA"/>
        </w:rPr>
      </w:pPr>
      <w:r>
        <w:rPr>
          <w:rFonts w:hint="eastAsia" w:ascii="黑体" w:hAnsi="黑体" w:eastAsia="黑体" w:cs="Times New Roman"/>
          <w:snapToGrid w:val="0"/>
          <w:color w:val="auto"/>
          <w:kern w:val="0"/>
          <w:sz w:val="30"/>
          <w:szCs w:val="30"/>
          <w:lang w:val="en-US" w:eastAsia="zh-CN" w:bidi="ar-SA"/>
        </w:rPr>
        <w:t>二、建设项目工程分析</w:t>
      </w:r>
    </w:p>
    <w:tbl>
      <w:tblPr>
        <w:tblStyle w:val="24"/>
        <w:tblW w:w="898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92" w:hRule="atLeast"/>
          <w:jc w:val="center"/>
        </w:trPr>
        <w:tc>
          <w:tcPr>
            <w:tcW w:w="823" w:type="dxa"/>
            <w:noWrap w:val="0"/>
            <w:vAlign w:val="center"/>
          </w:tcPr>
          <w:p>
            <w:pPr>
              <w:widowControl/>
              <w:adjustRightInd w:val="0"/>
              <w:snapToGrid w:val="0"/>
              <w:spacing w:before="0" w:beforeAutospacing="0" w:after="0" w:afterAutospacing="0"/>
              <w:jc w:val="center"/>
              <w:rPr>
                <w:rFonts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建设内容</w:t>
            </w:r>
          </w:p>
        </w:tc>
        <w:tc>
          <w:tcPr>
            <w:tcW w:w="8161" w:type="dxa"/>
            <w:noWrap w:val="0"/>
            <w:vAlign w:val="top"/>
          </w:tcPr>
          <w:p>
            <w:pPr>
              <w:spacing w:line="360" w:lineRule="auto"/>
              <w:ind w:firstLine="560"/>
              <w:rPr>
                <w:b/>
                <w:bCs/>
                <w:color w:val="auto"/>
              </w:rPr>
            </w:pPr>
            <w:r>
              <w:rPr>
                <w:b/>
                <w:bCs/>
                <w:color w:val="auto"/>
              </w:rPr>
              <w:t>一、项目由来</w:t>
            </w:r>
          </w:p>
          <w:p>
            <w:pPr>
              <w:spacing w:before="20" w:line="360" w:lineRule="auto"/>
              <w:ind w:firstLine="480" w:firstLineChars="200"/>
              <w:rPr>
                <w:rFonts w:hint="eastAsia"/>
                <w:color w:val="auto"/>
              </w:rPr>
            </w:pPr>
            <w:r>
              <w:rPr>
                <w:color w:val="auto"/>
              </w:rPr>
              <w:t>西北人吃浆水历史悠久，范围主要包括甘肃、青海、陕西、宁夏等地。作为西北传统名小吃，甘肃兰州、天水、临夏等地家家户户都会做，也喜食。随着时代发展，</w:t>
            </w:r>
            <w:r>
              <w:rPr>
                <w:rFonts w:hint="eastAsia"/>
                <w:color w:val="auto"/>
                <w:lang w:val="en-US" w:eastAsia="zh-CN"/>
              </w:rPr>
              <w:t>安全、卫生、成品包装浆水及其衍生制品</w:t>
            </w:r>
            <w:r>
              <w:rPr>
                <w:color w:val="auto"/>
              </w:rPr>
              <w:t>成为广受消费者喜爱的特色小食。</w:t>
            </w:r>
            <w:r>
              <w:rPr>
                <w:rFonts w:hint="eastAsia"/>
                <w:color w:val="auto"/>
              </w:rPr>
              <w:t>临夏州五兴农业科技有限公司正是看中了一直市场契机，为使酸菜浆水向产业化、规模化方向发展，</w:t>
            </w:r>
            <w:r>
              <w:rPr>
                <w:rFonts w:hint="eastAsia"/>
                <w:color w:val="auto"/>
                <w:lang w:val="en-US" w:eastAsia="zh-CN"/>
              </w:rPr>
              <w:t>项目</w:t>
            </w:r>
            <w:r>
              <w:rPr>
                <w:rFonts w:hint="eastAsia"/>
                <w:color w:val="auto"/>
              </w:rPr>
              <w:t>拟投资</w:t>
            </w:r>
            <w:r>
              <w:rPr>
                <w:rFonts w:hint="eastAsia"/>
                <w:color w:val="auto"/>
                <w:lang w:val="en-US" w:eastAsia="zh-CN"/>
              </w:rPr>
              <w:t>2000</w:t>
            </w:r>
            <w:r>
              <w:rPr>
                <w:rFonts w:hint="eastAsia"/>
                <w:color w:val="auto"/>
              </w:rPr>
              <w:t>万元，在甘肃省</w:t>
            </w:r>
            <w:r>
              <w:rPr>
                <w:rFonts w:hint="eastAsia"/>
                <w:color w:val="auto"/>
                <w:lang w:val="en-US" w:eastAsia="zh-CN"/>
              </w:rPr>
              <w:t>临夏州和政县和政循环经济生产园</w:t>
            </w:r>
            <w:r>
              <w:rPr>
                <w:rFonts w:hint="eastAsia"/>
                <w:color w:val="auto"/>
              </w:rPr>
              <w:t>开展浆水酸菜及衍生品生产项目。</w:t>
            </w:r>
          </w:p>
          <w:p>
            <w:pPr>
              <w:spacing w:before="20" w:line="360" w:lineRule="auto"/>
              <w:ind w:firstLine="480" w:firstLineChars="200"/>
              <w:rPr>
                <w:rFonts w:hint="eastAsia"/>
                <w:color w:val="auto"/>
                <w:lang w:val="en-US" w:eastAsia="zh-CN"/>
              </w:rPr>
            </w:pPr>
            <w:r>
              <w:rPr>
                <w:rFonts w:hint="eastAsia"/>
                <w:color w:val="auto"/>
                <w:lang w:val="en-US" w:eastAsia="zh-CN"/>
              </w:rPr>
              <w:t>本项目为和政县招商引资项目，2024年建设单位同和政县人民政府签订了投资协议，在和政县人民政府协助下，本项目租用</w:t>
            </w:r>
            <w:r>
              <w:rPr>
                <w:rFonts w:hint="eastAsia"/>
                <w:color w:val="auto"/>
              </w:rPr>
              <w:t>和政县城乡建设投资有限公司</w:t>
            </w:r>
            <w:r>
              <w:rPr>
                <w:rFonts w:hint="eastAsia"/>
                <w:color w:val="auto"/>
                <w:lang w:val="en-US" w:eastAsia="zh-CN"/>
              </w:rPr>
              <w:t>所有的</w:t>
            </w:r>
            <w:r>
              <w:rPr>
                <w:rFonts w:hint="eastAsia" w:ascii="Times New Roman" w:eastAsia="宋体"/>
                <w:color w:val="auto"/>
                <w:lang w:val="en-US" w:eastAsia="zh-CN"/>
              </w:rPr>
              <w:t>和政循环经济生产园区辐照产业园</w:t>
            </w:r>
            <w:r>
              <w:rPr>
                <w:rFonts w:hint="eastAsia"/>
                <w:color w:val="auto"/>
              </w:rPr>
              <w:t>厂房</w:t>
            </w:r>
            <w:r>
              <w:rPr>
                <w:rFonts w:hint="eastAsia" w:ascii="Times New Roman" w:eastAsia="宋体"/>
                <w:color w:val="auto"/>
                <w:lang w:val="en-US" w:eastAsia="zh-CN"/>
              </w:rPr>
              <w:t>及空地</w:t>
            </w:r>
            <w:r>
              <w:rPr>
                <w:rFonts w:hint="eastAsia" w:ascii="Times New Roman"/>
                <w:color w:val="auto"/>
                <w:lang w:val="en-US" w:eastAsia="zh-CN"/>
              </w:rPr>
              <w:t>，用于本项目的建设。</w:t>
            </w:r>
          </w:p>
          <w:p>
            <w:pPr>
              <w:spacing w:before="20" w:line="360" w:lineRule="auto"/>
              <w:ind w:firstLine="480" w:firstLineChars="200"/>
              <w:rPr>
                <w:rFonts w:hint="eastAsia"/>
                <w:color w:val="auto"/>
                <w:lang w:eastAsia="zh-CN"/>
              </w:rPr>
            </w:pPr>
            <w:r>
              <w:rPr>
                <w:color w:val="auto"/>
              </w:rPr>
              <w:t>根据现行《中华人民共和国环境保护法》、《中华人民共和国环境影响评价法》和《建设项目环境保护管理条例》等有关建设项目生态环境保护管理规定，本项目应进行环境影响评价。根据《建设项目环境影响评价分类管理名录》(2021年版)</w:t>
            </w:r>
            <w:r>
              <w:rPr>
                <w:rFonts w:hint="eastAsia"/>
                <w:color w:val="auto"/>
              </w:rPr>
              <w:t>有关规定</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fldChar w:fldCharType="begin"/>
            </w:r>
            <w:r>
              <w:rPr>
                <w:rFonts w:hint="eastAsia"/>
                <w:color w:val="auto"/>
              </w:rPr>
              <w:instrText xml:space="preserve"> = 1 \* GB3 \* MERGEFORMAT </w:instrText>
            </w:r>
            <w:r>
              <w:rPr>
                <w:rFonts w:hint="eastAsia"/>
                <w:color w:val="auto"/>
              </w:rPr>
              <w:fldChar w:fldCharType="separate"/>
            </w:r>
            <w:r>
              <w:rPr>
                <w:color w:val="auto"/>
              </w:rPr>
              <w:t>①</w:t>
            </w:r>
            <w:r>
              <w:rPr>
                <w:rFonts w:hint="eastAsia"/>
                <w:color w:val="auto"/>
              </w:rPr>
              <w:fldChar w:fldCharType="end"/>
            </w:r>
            <w:r>
              <w:rPr>
                <w:color w:val="auto"/>
              </w:rPr>
              <w:t>本项目</w:t>
            </w:r>
            <w:r>
              <w:rPr>
                <w:rFonts w:hint="eastAsia"/>
                <w:color w:val="auto"/>
                <w:lang w:val="en-US" w:eastAsia="zh-CN"/>
              </w:rPr>
              <w:t>浆水、酸菜生产线</w:t>
            </w:r>
            <w:r>
              <w:rPr>
                <w:color w:val="auto"/>
              </w:rPr>
              <w:t>属于</w:t>
            </w:r>
            <w:r>
              <w:rPr>
                <w:rFonts w:hint="eastAsia"/>
                <w:color w:val="auto"/>
                <w:lang w:eastAsia="zh-CN"/>
              </w:rPr>
              <w:t>“</w:t>
            </w:r>
            <w:r>
              <w:rPr>
                <w:rFonts w:hint="eastAsia"/>
                <w:color w:val="auto"/>
              </w:rPr>
              <w:t>十一、食品制造业14、调味品、发酵制品制造146</w:t>
            </w:r>
            <w:r>
              <w:rPr>
                <w:rFonts w:hint="eastAsia"/>
                <w:color w:val="auto"/>
                <w:lang w:val="en-US" w:eastAsia="zh-CN"/>
              </w:rPr>
              <w:t>*</w:t>
            </w:r>
            <w:r>
              <w:rPr>
                <w:rFonts w:hint="eastAsia"/>
                <w:color w:val="auto"/>
              </w:rPr>
              <w:t>-其他（单纯混合、分装的除外）</w:t>
            </w:r>
            <w:r>
              <w:rPr>
                <w:rFonts w:hint="eastAsia"/>
                <w:color w:val="auto"/>
                <w:lang w:eastAsia="zh-CN"/>
              </w:rPr>
              <w:t>”，</w:t>
            </w:r>
            <w:r>
              <w:rPr>
                <w:color w:val="auto"/>
              </w:rPr>
              <w:t>需编制环境影响报告表。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eastAsia"/>
                <w:color w:val="auto"/>
              </w:rPr>
              <w:fldChar w:fldCharType="begin"/>
            </w:r>
            <w:r>
              <w:rPr>
                <w:rFonts w:hint="eastAsia"/>
                <w:color w:val="auto"/>
              </w:rPr>
              <w:instrText xml:space="preserve"> = 2 \* GB3 \* MERGEFORMAT </w:instrText>
            </w:r>
            <w:r>
              <w:rPr>
                <w:rFonts w:hint="eastAsia"/>
                <w:color w:val="auto"/>
              </w:rPr>
              <w:fldChar w:fldCharType="separate"/>
            </w:r>
            <w:r>
              <w:rPr>
                <w:color w:val="auto"/>
              </w:rPr>
              <w:t>②</w:t>
            </w:r>
            <w:r>
              <w:rPr>
                <w:rFonts w:hint="eastAsia"/>
                <w:color w:val="auto"/>
              </w:rPr>
              <w:fldChar w:fldCharType="end"/>
            </w:r>
            <w:r>
              <w:rPr>
                <w:rFonts w:hint="eastAsia"/>
                <w:color w:val="auto"/>
                <w:lang w:val="en-US" w:eastAsia="zh-CN"/>
              </w:rPr>
              <w:t>本项目燃气锅炉属于“四十一、电力、热力生产和供应业、热力生产和供应工程-天然气锅炉总容量1吨/小时（0.7兆瓦）以上的”</w:t>
            </w:r>
          </w:p>
          <w:p>
            <w:pPr>
              <w:spacing w:line="360" w:lineRule="auto"/>
              <w:ind w:firstLine="480" w:firstLineChars="200"/>
              <w:rPr>
                <w:color w:val="auto"/>
              </w:rPr>
            </w:pPr>
            <w:r>
              <w:rPr>
                <w:rFonts w:hint="eastAsia"/>
                <w:color w:val="auto"/>
              </w:rPr>
              <w:t>根据《建设项目环境影响评价分类管理名录》中第五条规定</w:t>
            </w:r>
            <w:r>
              <w:rPr>
                <w:rFonts w:hint="eastAsia"/>
                <w:color w:val="auto"/>
                <w:lang w:eastAsia="zh-CN"/>
              </w:rPr>
              <w:t>“</w:t>
            </w:r>
            <w:r>
              <w:rPr>
                <w:rFonts w:hint="eastAsia"/>
                <w:color w:val="auto"/>
              </w:rPr>
              <w:t>跨行业、复合型建设项目，其环境影响评价类别按其中单项等级最高的确定</w:t>
            </w:r>
            <w:r>
              <w:rPr>
                <w:rFonts w:hint="eastAsia"/>
                <w:color w:val="auto"/>
                <w:lang w:eastAsia="zh-CN"/>
              </w:rPr>
              <w:t>”</w:t>
            </w:r>
            <w:r>
              <w:rPr>
                <w:rFonts w:hint="eastAsia"/>
                <w:color w:val="auto"/>
              </w:rPr>
              <w:t>。因此，本项目需编制环境影响报告表。</w:t>
            </w:r>
          </w:p>
          <w:p>
            <w:pPr>
              <w:spacing w:line="360" w:lineRule="auto"/>
              <w:ind w:firstLine="560"/>
              <w:rPr>
                <w:b/>
                <w:bCs/>
                <w:color w:val="auto"/>
              </w:rPr>
            </w:pPr>
            <w:r>
              <w:rPr>
                <w:b/>
                <w:bCs/>
                <w:color w:val="auto"/>
              </w:rPr>
              <w:t>二、项目概况</w:t>
            </w:r>
          </w:p>
          <w:p>
            <w:pPr>
              <w:widowControl/>
              <w:spacing w:line="360" w:lineRule="auto"/>
              <w:ind w:firstLine="480" w:firstLineChars="200"/>
              <w:rPr>
                <w:color w:val="auto"/>
              </w:rPr>
            </w:pPr>
            <w:r>
              <w:rPr>
                <w:color w:val="auto"/>
              </w:rPr>
              <w:t>1、项目名称、建设单位、建设性质、项目投资及建设地点</w:t>
            </w:r>
          </w:p>
          <w:p>
            <w:pPr>
              <w:spacing w:line="360" w:lineRule="auto"/>
              <w:ind w:firstLine="480" w:firstLineChars="200"/>
              <w:rPr>
                <w:rFonts w:hint="eastAsia"/>
                <w:color w:val="auto"/>
              </w:rPr>
            </w:pPr>
            <w:r>
              <w:rPr>
                <w:color w:val="auto"/>
              </w:rPr>
              <w:t>项目名称：</w:t>
            </w:r>
            <w:r>
              <w:rPr>
                <w:rFonts w:hint="eastAsia"/>
                <w:color w:val="auto"/>
              </w:rPr>
              <w:t>浆水酸菜及衍生品生产项目</w:t>
            </w:r>
          </w:p>
          <w:p>
            <w:pPr>
              <w:spacing w:line="360" w:lineRule="auto"/>
              <w:ind w:firstLine="480" w:firstLineChars="200"/>
              <w:rPr>
                <w:rFonts w:hint="eastAsia"/>
                <w:color w:val="auto"/>
              </w:rPr>
            </w:pPr>
            <w:r>
              <w:rPr>
                <w:color w:val="auto"/>
              </w:rPr>
              <w:t>建设单位：</w:t>
            </w:r>
            <w:r>
              <w:rPr>
                <w:rFonts w:hint="eastAsia"/>
                <w:color w:val="auto"/>
              </w:rPr>
              <w:t>临夏州五兴农业科技有限公司</w:t>
            </w:r>
          </w:p>
          <w:p>
            <w:pPr>
              <w:spacing w:line="360" w:lineRule="auto"/>
              <w:ind w:firstLine="480" w:firstLineChars="200"/>
              <w:rPr>
                <w:color w:val="auto"/>
              </w:rPr>
            </w:pPr>
            <w:r>
              <w:rPr>
                <w:color w:val="auto"/>
              </w:rPr>
              <w:t>建设性质：</w:t>
            </w:r>
            <w:r>
              <w:rPr>
                <w:rFonts w:hint="eastAsia"/>
                <w:color w:val="auto"/>
              </w:rPr>
              <w:t>新</w:t>
            </w:r>
            <w:r>
              <w:rPr>
                <w:color w:val="auto"/>
              </w:rPr>
              <w:t>建</w:t>
            </w:r>
          </w:p>
          <w:p>
            <w:pPr>
              <w:spacing w:line="360" w:lineRule="auto"/>
              <w:ind w:firstLine="480" w:firstLineChars="200"/>
              <w:rPr>
                <w:rFonts w:hint="eastAsia"/>
                <w:color w:val="auto"/>
              </w:rPr>
            </w:pPr>
            <w:r>
              <w:rPr>
                <w:color w:val="auto"/>
              </w:rPr>
              <w:t>项目投资：项目总投资为</w:t>
            </w:r>
            <w:r>
              <w:rPr>
                <w:rFonts w:hint="eastAsia"/>
                <w:color w:val="auto"/>
                <w:lang w:val="en-US" w:eastAsia="zh-CN"/>
              </w:rPr>
              <w:t>2000</w:t>
            </w:r>
            <w:r>
              <w:rPr>
                <w:color w:val="auto"/>
              </w:rPr>
              <w:t>万元。</w:t>
            </w:r>
          </w:p>
          <w:p>
            <w:pPr>
              <w:bidi w:val="0"/>
              <w:ind w:firstLine="480" w:firstLineChars="200"/>
              <w:rPr>
                <w:rFonts w:hint="eastAsia"/>
                <w:color w:val="auto"/>
                <w:lang w:val="en-US" w:eastAsia="zh-CN"/>
              </w:rPr>
            </w:pPr>
            <w:r>
              <w:rPr>
                <w:color w:val="auto"/>
              </w:rPr>
              <w:t>劳动定员及工作制度：</w:t>
            </w:r>
            <w:r>
              <w:rPr>
                <w:rFonts w:hint="eastAsia"/>
                <w:color w:val="auto"/>
                <w:lang w:val="en-US" w:eastAsia="zh-CN"/>
              </w:rPr>
              <w:t>年运行357天，每天工作8小时（发酵为全天静置进行，仅在工作时间进行搅拌）</w:t>
            </w:r>
            <w:r>
              <w:rPr>
                <w:rFonts w:hint="eastAsia"/>
                <w:color w:val="auto"/>
                <w:lang w:val="en-US" w:eastAsia="zh-CN"/>
              </w:rPr>
              <w:t>，夜间不生产，不提供住宿（员工均为附近村民）。</w:t>
            </w:r>
          </w:p>
          <w:p>
            <w:pPr>
              <w:spacing w:line="360" w:lineRule="auto"/>
              <w:ind w:firstLine="480" w:firstLineChars="200"/>
              <w:rPr>
                <w:color w:val="auto"/>
              </w:rPr>
            </w:pPr>
            <w:r>
              <w:rPr>
                <w:color w:val="auto"/>
              </w:rPr>
              <w:t>建设地点：</w:t>
            </w:r>
            <w:r>
              <w:rPr>
                <w:rFonts w:hint="eastAsia"/>
                <w:color w:val="auto"/>
                <w:lang w:eastAsia="zh-CN"/>
              </w:rPr>
              <w:t>和政循环经济产业园区辐照产业园</w:t>
            </w:r>
            <w:r>
              <w:rPr>
                <w:rFonts w:hint="eastAsia"/>
                <w:color w:val="auto"/>
              </w:rPr>
              <w:t>，项目</w:t>
            </w:r>
            <w:r>
              <w:rPr>
                <w:rFonts w:hint="eastAsia"/>
                <w:color w:val="auto"/>
                <w:lang w:val="en-US" w:eastAsia="zh-CN"/>
              </w:rPr>
              <w:t>北侧为甘肃伊穆馨油脂有限公司厂房，项目东侧为小南岔河，项目南侧为乐羊羊(和政)农业发展有限公司厂房，西侧为辐照产业园区车间</w:t>
            </w:r>
            <w:r>
              <w:rPr>
                <w:rFonts w:hint="eastAsia"/>
                <w:color w:val="auto"/>
              </w:rPr>
              <w:t>。地理位置图</w:t>
            </w:r>
            <w:r>
              <w:rPr>
                <w:color w:val="auto"/>
              </w:rPr>
              <w:t>详见附图1</w:t>
            </w:r>
            <w:r>
              <w:rPr>
                <w:rFonts w:hint="eastAsia"/>
                <w:color w:val="auto"/>
                <w:lang w:eastAsia="zh-CN"/>
              </w:rPr>
              <w:t>，</w:t>
            </w:r>
            <w:r>
              <w:rPr>
                <w:rFonts w:hint="eastAsia"/>
                <w:color w:val="auto"/>
                <w:lang w:val="en-US" w:eastAsia="zh-CN"/>
              </w:rPr>
              <w:t>四至关系图见附图3。</w:t>
            </w:r>
          </w:p>
          <w:p>
            <w:pPr>
              <w:spacing w:line="360" w:lineRule="auto"/>
              <w:ind w:firstLine="480" w:firstLineChars="200"/>
              <w:rPr>
                <w:color w:val="auto"/>
              </w:rPr>
            </w:pPr>
            <w:r>
              <w:rPr>
                <w:color w:val="auto"/>
              </w:rPr>
              <w:t>2、项目建设内容</w:t>
            </w:r>
          </w:p>
          <w:p>
            <w:pPr>
              <w:spacing w:before="20" w:line="360" w:lineRule="auto"/>
              <w:ind w:firstLine="480" w:firstLineChars="200"/>
              <w:rPr>
                <w:color w:val="auto"/>
              </w:rPr>
            </w:pPr>
            <w:r>
              <w:rPr>
                <w:rFonts w:hint="eastAsia"/>
                <w:color w:val="auto"/>
              </w:rPr>
              <w:t>项目</w:t>
            </w:r>
            <w:r>
              <w:rPr>
                <w:rFonts w:hint="eastAsia"/>
                <w:color w:val="auto"/>
                <w:lang w:val="en-US" w:eastAsia="zh-CN"/>
              </w:rPr>
              <w:t>租赁</w:t>
            </w:r>
            <w:r>
              <w:rPr>
                <w:rFonts w:hint="eastAsia" w:eastAsia="宋体"/>
                <w:color w:val="auto"/>
                <w:lang w:eastAsia="zh-CN"/>
              </w:rPr>
              <w:t>和政循环经济产业园区辐照产业园</w:t>
            </w:r>
            <w:r>
              <w:rPr>
                <w:rFonts w:hint="eastAsia"/>
                <w:color w:val="auto"/>
                <w:lang w:val="en-US" w:eastAsia="zh-CN"/>
              </w:rPr>
              <w:t>1座车间用于建设生产车间</w:t>
            </w:r>
            <w:r>
              <w:rPr>
                <w:rFonts w:hint="eastAsia"/>
                <w:color w:val="auto"/>
              </w:rPr>
              <w:t>，</w:t>
            </w:r>
            <w:r>
              <w:rPr>
                <w:color w:val="auto"/>
              </w:rPr>
              <w:t>同时配套建设</w:t>
            </w:r>
            <w:r>
              <w:rPr>
                <w:rFonts w:hint="eastAsia"/>
                <w:color w:val="auto"/>
                <w:lang w:val="en-US" w:eastAsia="zh-CN"/>
              </w:rPr>
              <w:t>办公楼、锅炉房、冷藏库</w:t>
            </w:r>
            <w:r>
              <w:rPr>
                <w:color w:val="auto"/>
              </w:rPr>
              <w:t>等</w:t>
            </w:r>
            <w:r>
              <w:rPr>
                <w:rFonts w:hint="eastAsia"/>
                <w:color w:val="auto"/>
              </w:rPr>
              <w:t>其他</w:t>
            </w:r>
            <w:r>
              <w:rPr>
                <w:color w:val="auto"/>
              </w:rPr>
              <w:t>辅助工程、储运工程、公用工程等。</w:t>
            </w:r>
          </w:p>
          <w:p>
            <w:pPr>
              <w:spacing w:before="20" w:line="360" w:lineRule="auto"/>
              <w:ind w:firstLine="480" w:firstLineChars="200"/>
              <w:rPr>
                <w:color w:val="auto"/>
              </w:rPr>
            </w:pPr>
            <w:r>
              <w:rPr>
                <w:color w:val="auto"/>
              </w:rPr>
              <w:t>本项目主要建设内容见表2-1，主要建筑物见表2-2所示。</w:t>
            </w:r>
          </w:p>
          <w:p>
            <w:pPr>
              <w:widowControl/>
              <w:spacing w:line="360" w:lineRule="auto"/>
              <w:jc w:val="center"/>
              <w:rPr>
                <w:b/>
                <w:bCs/>
                <w:color w:val="auto"/>
              </w:rPr>
            </w:pPr>
            <w:r>
              <w:rPr>
                <w:b/>
                <w:bCs/>
                <w:color w:val="auto"/>
              </w:rPr>
              <w:t>表2-1    建设项目组成一览表</w:t>
            </w:r>
          </w:p>
          <w:tbl>
            <w:tblPr>
              <w:tblStyle w:val="24"/>
              <w:tblW w:w="794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22"/>
              <w:gridCol w:w="1117"/>
              <w:gridCol w:w="5464"/>
              <w:gridCol w:w="8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5" w:hRule="atLeast"/>
              </w:trPr>
              <w:tc>
                <w:tcPr>
                  <w:tcW w:w="522" w:type="dxa"/>
                  <w:tcBorders>
                    <w:top w:val="single" w:color="auto" w:sz="4" w:space="0"/>
                    <w:left w:val="nil"/>
                    <w:bottom w:val="single" w:color="auto" w:sz="4" w:space="0"/>
                    <w:right w:val="single" w:color="auto" w:sz="4" w:space="0"/>
                  </w:tcBorders>
                  <w:noWrap w:val="0"/>
                  <w:vAlign w:val="center"/>
                </w:tcPr>
                <w:p>
                  <w:pPr>
                    <w:pStyle w:val="32"/>
                    <w:bidi w:val="0"/>
                    <w:rPr>
                      <w:color w:val="auto"/>
                    </w:rPr>
                  </w:pPr>
                  <w:r>
                    <w:rPr>
                      <w:color w:val="auto"/>
                    </w:rPr>
                    <w:t>工程类别</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pStyle w:val="32"/>
                    <w:bidi w:val="0"/>
                    <w:rPr>
                      <w:color w:val="auto"/>
                    </w:rPr>
                  </w:pPr>
                  <w:r>
                    <w:rPr>
                      <w:color w:val="auto"/>
                    </w:rPr>
                    <w:t>工程名称</w:t>
                  </w: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color w:val="auto"/>
                    </w:rPr>
                  </w:pPr>
                  <w:r>
                    <w:rPr>
                      <w:color w:val="auto"/>
                    </w:rPr>
                    <w:t>工程内容及规模</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color w:val="auto"/>
                    </w:rPr>
                  </w:pPr>
                  <w:r>
                    <w:rPr>
                      <w:color w:val="auto"/>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623" w:hRule="atLeast"/>
              </w:trPr>
              <w:tc>
                <w:tcPr>
                  <w:tcW w:w="522" w:type="dxa"/>
                  <w:tcBorders>
                    <w:top w:val="nil"/>
                    <w:left w:val="nil"/>
                    <w:right w:val="single" w:color="auto" w:sz="4" w:space="0"/>
                  </w:tcBorders>
                  <w:noWrap w:val="0"/>
                  <w:vAlign w:val="center"/>
                </w:tcPr>
                <w:p>
                  <w:pPr>
                    <w:pStyle w:val="32"/>
                    <w:bidi w:val="0"/>
                    <w:rPr>
                      <w:color w:val="auto"/>
                    </w:rPr>
                  </w:pPr>
                  <w:r>
                    <w:rPr>
                      <w:color w:val="auto"/>
                    </w:rPr>
                    <w:t>主体工程</w:t>
                  </w:r>
                </w:p>
              </w:tc>
              <w:tc>
                <w:tcPr>
                  <w:tcW w:w="1117" w:type="dxa"/>
                  <w:tcBorders>
                    <w:top w:val="single" w:color="auto" w:sz="4" w:space="0"/>
                    <w:left w:val="single" w:color="auto" w:sz="4" w:space="0"/>
                    <w:right w:val="single" w:color="auto" w:sz="4" w:space="0"/>
                  </w:tcBorders>
                  <w:noWrap w:val="0"/>
                  <w:vAlign w:val="center"/>
                </w:tcPr>
                <w:p>
                  <w:pPr>
                    <w:pStyle w:val="32"/>
                    <w:bidi w:val="0"/>
                    <w:rPr>
                      <w:rFonts w:hint="default"/>
                      <w:color w:val="auto"/>
                      <w:lang w:val="en-US" w:eastAsia="zh-CN"/>
                    </w:rPr>
                  </w:pPr>
                  <w:r>
                    <w:rPr>
                      <w:rFonts w:hint="eastAsia"/>
                      <w:color w:val="auto"/>
                      <w:lang w:val="en-US" w:eastAsia="zh-CN"/>
                    </w:rPr>
                    <w:t>生产车间</w:t>
                  </w: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1座钢结构全封闭厂房，占地面积为3240m</w:t>
                  </w:r>
                  <w:r>
                    <w:rPr>
                      <w:rFonts w:hint="eastAsia"/>
                      <w:color w:val="auto"/>
                      <w:vertAlign w:val="superscript"/>
                      <w:lang w:val="en-US" w:eastAsia="zh-CN"/>
                    </w:rPr>
                    <w:t>2</w:t>
                  </w:r>
                  <w:r>
                    <w:rPr>
                      <w:rFonts w:hint="eastAsia"/>
                      <w:color w:val="auto"/>
                      <w:lang w:val="en-US" w:eastAsia="zh-CN"/>
                    </w:rPr>
                    <w:t>，内设置分选间、净菜间、发酵间、酸菜间、浆水袋装间、水处理间、消毒更衣间、质检间、实验室等</w:t>
                  </w:r>
                  <w:r>
                    <w:rPr>
                      <w:rFonts w:hint="eastAsia"/>
                      <w:color w:val="auto"/>
                      <w:lang w:val="en-US" w:eastAsia="zh-CN"/>
                    </w:rPr>
                    <w:t>，共设置浆水生产线9条、酸菜生产线3条。其中实验室仅进行酸度检测，消毒更衣间内进行更换衣物、手部清洁、手部酒精消毒+风淋</w:t>
                  </w:r>
                </w:p>
              </w:tc>
              <w:tc>
                <w:tcPr>
                  <w:tcW w:w="842" w:type="dxa"/>
                  <w:tcBorders>
                    <w:top w:val="single" w:color="auto" w:sz="4" w:space="0"/>
                    <w:left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利旧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15" w:hRule="atLeast"/>
              </w:trPr>
              <w:tc>
                <w:tcPr>
                  <w:tcW w:w="522" w:type="dxa"/>
                  <w:vMerge w:val="restart"/>
                  <w:tcBorders>
                    <w:top w:val="nil"/>
                    <w:left w:val="nil"/>
                    <w:right w:val="single" w:color="auto" w:sz="4" w:space="0"/>
                  </w:tcBorders>
                  <w:noWrap w:val="0"/>
                  <w:vAlign w:val="center"/>
                </w:tcPr>
                <w:p>
                  <w:pPr>
                    <w:pStyle w:val="32"/>
                    <w:bidi w:val="0"/>
                    <w:rPr>
                      <w:color w:val="auto"/>
                    </w:rPr>
                  </w:pPr>
                  <w:r>
                    <w:rPr>
                      <w:color w:val="auto"/>
                    </w:rPr>
                    <w:t>辅助工程</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pStyle w:val="32"/>
                    <w:bidi w:val="0"/>
                    <w:rPr>
                      <w:rFonts w:hint="eastAsia"/>
                      <w:color w:val="auto"/>
                      <w:lang w:eastAsia="zh-CN"/>
                    </w:rPr>
                  </w:pPr>
                  <w:r>
                    <w:rPr>
                      <w:rFonts w:hint="eastAsia"/>
                      <w:color w:val="auto"/>
                      <w:lang w:val="en-US" w:eastAsia="zh-CN"/>
                    </w:rPr>
                    <w:t>办公楼</w:t>
                  </w: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新建1座2层砖混结构的办公楼，占地面积为272m</w:t>
                  </w:r>
                  <w:r>
                    <w:rPr>
                      <w:rFonts w:hint="eastAsia"/>
                      <w:color w:val="auto"/>
                      <w:vertAlign w:val="superscript"/>
                      <w:lang w:val="en-US" w:eastAsia="zh-CN"/>
                    </w:rPr>
                    <w:t>2</w:t>
                  </w:r>
                  <w:r>
                    <w:rPr>
                      <w:rFonts w:hint="eastAsia"/>
                      <w:color w:val="auto"/>
                      <w:lang w:val="en-US" w:eastAsia="zh-CN"/>
                    </w:rPr>
                    <w:t>，建筑面积为544m</w:t>
                  </w:r>
                  <w:r>
                    <w:rPr>
                      <w:rFonts w:hint="eastAsia"/>
                      <w:color w:val="auto"/>
                      <w:vertAlign w:val="superscript"/>
                      <w:lang w:val="en-US" w:eastAsia="zh-CN"/>
                    </w:rPr>
                    <w:t>2</w:t>
                  </w:r>
                  <w:r>
                    <w:rPr>
                      <w:rFonts w:hint="eastAsia"/>
                      <w:color w:val="auto"/>
                      <w:lang w:val="en-US" w:eastAsia="zh-CN"/>
                    </w:rPr>
                    <w:t>，一层层高3.6m，二层层高3.3m，1层作为食堂使用，提供午餐，2层作为办公区使用</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rFonts w:hint="eastAsia"/>
                      <w:color w:val="auto"/>
                    </w:rPr>
                  </w:pPr>
                  <w:r>
                    <w:rPr>
                      <w:rFonts w:hint="eastAsia"/>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15"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tcBorders>
                    <w:top w:val="single" w:color="auto" w:sz="4" w:space="0"/>
                    <w:left w:val="single" w:color="auto" w:sz="4" w:space="0"/>
                    <w:bottom w:val="single" w:color="auto" w:sz="4" w:space="0"/>
                    <w:right w:val="single" w:color="auto" w:sz="4" w:space="0"/>
                  </w:tcBorders>
                  <w:noWrap w:val="0"/>
                  <w:vAlign w:val="center"/>
                </w:tcPr>
                <w:p>
                  <w:pPr>
                    <w:pStyle w:val="32"/>
                    <w:bidi w:val="0"/>
                    <w:rPr>
                      <w:rFonts w:hint="eastAsia"/>
                      <w:color w:val="auto"/>
                      <w:lang w:val="en-US" w:eastAsia="zh-CN"/>
                    </w:rPr>
                  </w:pPr>
                  <w:r>
                    <w:rPr>
                      <w:rFonts w:hint="eastAsia"/>
                      <w:color w:val="auto"/>
                      <w:lang w:val="en-US" w:eastAsia="zh-CN"/>
                    </w:rPr>
                    <w:t>锅炉房</w:t>
                  </w: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新建1座砖混结构锅炉房，占地面积为200.97m</w:t>
                  </w:r>
                  <w:r>
                    <w:rPr>
                      <w:rFonts w:hint="eastAsia"/>
                      <w:color w:val="auto"/>
                      <w:vertAlign w:val="superscript"/>
                      <w:lang w:val="en-US" w:eastAsia="zh-CN"/>
                    </w:rPr>
                    <w:t>2</w:t>
                  </w:r>
                  <w:r>
                    <w:rPr>
                      <w:rFonts w:hint="eastAsia"/>
                      <w:color w:val="auto"/>
                      <w:lang w:val="en-US" w:eastAsia="zh-CN"/>
                    </w:rPr>
                    <w:t>，内设置1台3t/h的燃气蒸汽锅炉，用于给生产线提供蒸汽</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rFonts w:hint="eastAsia"/>
                      <w:color w:val="auto"/>
                    </w:rPr>
                  </w:pPr>
                  <w:r>
                    <w:rPr>
                      <w:rFonts w:hint="eastAsia"/>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15"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tcBorders>
                    <w:top w:val="single" w:color="auto" w:sz="4" w:space="0"/>
                    <w:left w:val="single" w:color="auto" w:sz="4" w:space="0"/>
                    <w:bottom w:val="single" w:color="auto" w:sz="4" w:space="0"/>
                    <w:right w:val="single" w:color="auto" w:sz="4" w:space="0"/>
                  </w:tcBorders>
                  <w:noWrap w:val="0"/>
                  <w:vAlign w:val="center"/>
                </w:tcPr>
                <w:p>
                  <w:pPr>
                    <w:pStyle w:val="32"/>
                    <w:bidi w:val="0"/>
                    <w:rPr>
                      <w:rFonts w:hint="eastAsia"/>
                      <w:color w:val="auto"/>
                      <w:lang w:val="en-US" w:eastAsia="zh-CN"/>
                    </w:rPr>
                  </w:pPr>
                  <w:r>
                    <w:rPr>
                      <w:rFonts w:hint="eastAsia"/>
                      <w:color w:val="auto"/>
                      <w:lang w:val="en-US" w:eastAsia="zh-CN"/>
                    </w:rPr>
                    <w:t>配电室</w:t>
                  </w: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新建1座砖混结构配电室</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rFonts w:hint="eastAsia"/>
                      <w:color w:val="auto"/>
                    </w:rPr>
                  </w:pPr>
                  <w:r>
                    <w:rPr>
                      <w:rFonts w:hint="eastAsia"/>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15" w:hRule="atLeast"/>
              </w:trPr>
              <w:tc>
                <w:tcPr>
                  <w:tcW w:w="522" w:type="dxa"/>
                  <w:vMerge w:val="restart"/>
                  <w:tcBorders>
                    <w:top w:val="nil"/>
                    <w:left w:val="nil"/>
                    <w:right w:val="single" w:color="auto" w:sz="4" w:space="0"/>
                  </w:tcBorders>
                  <w:noWrap w:val="0"/>
                  <w:vAlign w:val="center"/>
                </w:tcPr>
                <w:p>
                  <w:pPr>
                    <w:pStyle w:val="32"/>
                    <w:bidi w:val="0"/>
                    <w:rPr>
                      <w:color w:val="auto"/>
                    </w:rPr>
                  </w:pPr>
                  <w:r>
                    <w:rPr>
                      <w:color w:val="auto"/>
                    </w:rPr>
                    <w:t>储运工程</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pStyle w:val="32"/>
                    <w:bidi w:val="0"/>
                    <w:rPr>
                      <w:rFonts w:hint="default"/>
                      <w:color w:val="auto"/>
                    </w:rPr>
                  </w:pPr>
                  <w:r>
                    <w:rPr>
                      <w:rFonts w:hint="default"/>
                      <w:color w:val="auto"/>
                      <w:lang w:val="en-US" w:eastAsia="zh-CN"/>
                    </w:rPr>
                    <w:t>常温库</w:t>
                  </w: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rPr>
                  </w:pPr>
                  <w:r>
                    <w:rPr>
                      <w:rFonts w:hint="default"/>
                      <w:color w:val="auto"/>
                      <w:lang w:val="en-US" w:eastAsia="zh-CN"/>
                    </w:rPr>
                    <w:t>新建2座彩钢结构常温库房，占地面积为</w:t>
                  </w:r>
                  <w:r>
                    <w:rPr>
                      <w:rFonts w:hint="eastAsia"/>
                      <w:color w:val="auto"/>
                      <w:lang w:val="en-US" w:eastAsia="zh-CN"/>
                    </w:rPr>
                    <w:t>160</w:t>
                  </w:r>
                  <w:r>
                    <w:rPr>
                      <w:rFonts w:hint="default"/>
                      <w:color w:val="auto"/>
                      <w:lang w:val="en-US" w:eastAsia="zh-CN"/>
                    </w:rPr>
                    <w:t>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，温度为0~5摄氏度</w:t>
                  </w:r>
                  <w:r>
                    <w:rPr>
                      <w:rFonts w:hint="eastAsia" w:ascii="Times New Roman" w:hAnsi="Times New Roman" w:cs="Times New Roman"/>
                      <w:color w:val="auto"/>
                      <w:lang w:val="en-US" w:eastAsia="zh-CN"/>
                    </w:rPr>
                    <w:t>，用于储存面粉、白砂糖，制冷剂为‌</w:t>
                  </w:r>
                  <w:r>
                    <w:rPr>
                      <w:rFonts w:hint="default" w:ascii="Times New Roman" w:hAnsi="Times New Roman" w:cs="Times New Roman"/>
                      <w:color w:val="auto"/>
                      <w:lang w:val="en-US" w:eastAsia="zh-CN"/>
                    </w:rPr>
                    <w:t>R410A</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rFonts w:hint="eastAsia"/>
                      <w:color w:val="auto"/>
                      <w:lang w:val="en-US" w:eastAsia="zh-CN"/>
                    </w:rPr>
                  </w:pPr>
                  <w:r>
                    <w:rPr>
                      <w:rFonts w:hint="eastAsia"/>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15"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tcBorders>
                    <w:top w:val="single" w:color="auto" w:sz="4" w:space="0"/>
                    <w:left w:val="single" w:color="auto" w:sz="4" w:space="0"/>
                    <w:bottom w:val="single" w:color="auto" w:sz="4" w:space="0"/>
                    <w:right w:val="single" w:color="auto" w:sz="4" w:space="0"/>
                  </w:tcBorders>
                  <w:noWrap w:val="0"/>
                  <w:vAlign w:val="center"/>
                </w:tcPr>
                <w:p>
                  <w:pPr>
                    <w:pStyle w:val="32"/>
                    <w:bidi w:val="0"/>
                    <w:rPr>
                      <w:rFonts w:hint="default"/>
                      <w:color w:val="auto"/>
                      <w:lang w:val="en-US" w:eastAsia="zh-CN"/>
                    </w:rPr>
                  </w:pPr>
                  <w:r>
                    <w:rPr>
                      <w:rFonts w:hint="default"/>
                      <w:color w:val="auto"/>
                      <w:lang w:val="en-US" w:eastAsia="zh-CN"/>
                    </w:rPr>
                    <w:t>低温库</w:t>
                  </w: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rFonts w:hint="default"/>
                      <w:color w:val="auto"/>
                      <w:lang w:val="en-US" w:eastAsia="zh-CN"/>
                    </w:rPr>
                    <w:t>1座彩钢结构常温库房，</w:t>
                  </w:r>
                  <w:r>
                    <w:rPr>
                      <w:rFonts w:hint="eastAsia"/>
                      <w:color w:val="auto"/>
                      <w:lang w:val="en-US" w:eastAsia="zh-CN"/>
                    </w:rPr>
                    <w:t>占地面积为90m</w:t>
                  </w:r>
                  <w:r>
                    <w:rPr>
                      <w:rFonts w:hint="eastAsia"/>
                      <w:color w:val="auto"/>
                      <w:vertAlign w:val="superscript"/>
                      <w:lang w:val="en-US" w:eastAsia="zh-CN"/>
                    </w:rPr>
                    <w:t>2</w:t>
                  </w:r>
                  <w:r>
                    <w:rPr>
                      <w:rFonts w:hint="eastAsia"/>
                      <w:color w:val="auto"/>
                      <w:lang w:val="en-US" w:eastAsia="zh-CN"/>
                    </w:rPr>
                    <w:t>，</w:t>
                  </w:r>
                  <w:r>
                    <w:rPr>
                      <w:rFonts w:hint="default"/>
                      <w:color w:val="auto"/>
                      <w:lang w:val="en-US" w:eastAsia="zh-CN"/>
                    </w:rPr>
                    <w:t>温度为</w:t>
                  </w:r>
                  <w:r>
                    <w:rPr>
                      <w:rFonts w:hint="eastAsia"/>
                      <w:color w:val="auto"/>
                      <w:lang w:val="en-US" w:eastAsia="zh-CN"/>
                    </w:rPr>
                    <w:t>零下2</w:t>
                  </w:r>
                  <w:r>
                    <w:rPr>
                      <w:rFonts w:hint="default"/>
                      <w:color w:val="auto"/>
                      <w:lang w:val="en-US" w:eastAsia="zh-CN"/>
                    </w:rPr>
                    <w:t>5~</w:t>
                  </w:r>
                  <w:r>
                    <w:rPr>
                      <w:rFonts w:hint="eastAsia"/>
                      <w:color w:val="auto"/>
                      <w:lang w:val="en-US" w:eastAsia="zh-CN"/>
                    </w:rPr>
                    <w:t>零下1</w:t>
                  </w:r>
                  <w:r>
                    <w:rPr>
                      <w:rFonts w:hint="default"/>
                      <w:color w:val="auto"/>
                      <w:lang w:val="en-US" w:eastAsia="zh-CN"/>
                    </w:rPr>
                    <w:t>5摄氏度</w:t>
                  </w:r>
                  <w:r>
                    <w:rPr>
                      <w:rFonts w:hint="eastAsia"/>
                      <w:color w:val="auto"/>
                      <w:lang w:val="en-US" w:eastAsia="zh-CN"/>
                    </w:rPr>
                    <w:t>，用于储存芹菜、蒲公英等绿叶菜短期储存，</w:t>
                  </w:r>
                  <w:r>
                    <w:rPr>
                      <w:rFonts w:hint="eastAsia" w:ascii="Times New Roman" w:hAnsi="Times New Roman" w:cs="Times New Roman"/>
                      <w:color w:val="auto"/>
                      <w:lang w:val="en-US" w:eastAsia="zh-CN"/>
                    </w:rPr>
                    <w:t>制冷剂为‌</w:t>
                  </w:r>
                  <w:r>
                    <w:rPr>
                      <w:rFonts w:hint="default" w:ascii="Times New Roman" w:hAnsi="Times New Roman" w:cs="Times New Roman"/>
                      <w:color w:val="auto"/>
                      <w:lang w:val="en-US" w:eastAsia="zh-CN"/>
                    </w:rPr>
                    <w:t>R410A</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color w:val="auto"/>
                    </w:rPr>
                  </w:pPr>
                  <w:r>
                    <w:rPr>
                      <w:rFonts w:hint="eastAsia"/>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14" w:hRule="atLeast"/>
              </w:trPr>
              <w:tc>
                <w:tcPr>
                  <w:tcW w:w="522" w:type="dxa"/>
                  <w:vMerge w:val="restart"/>
                  <w:tcBorders>
                    <w:top w:val="nil"/>
                    <w:left w:val="nil"/>
                    <w:right w:val="single" w:color="auto" w:sz="4" w:space="0"/>
                  </w:tcBorders>
                  <w:noWrap w:val="0"/>
                  <w:vAlign w:val="center"/>
                </w:tcPr>
                <w:p>
                  <w:pPr>
                    <w:pStyle w:val="32"/>
                    <w:bidi w:val="0"/>
                    <w:rPr>
                      <w:color w:val="auto"/>
                    </w:rPr>
                  </w:pPr>
                  <w:r>
                    <w:rPr>
                      <w:color w:val="auto"/>
                    </w:rPr>
                    <w:t>公用工程</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pStyle w:val="32"/>
                    <w:bidi w:val="0"/>
                    <w:rPr>
                      <w:color w:val="auto"/>
                    </w:rPr>
                  </w:pPr>
                  <w:r>
                    <w:rPr>
                      <w:color w:val="auto"/>
                    </w:rPr>
                    <w:t>供水</w:t>
                  </w: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color w:val="auto"/>
                    </w:rPr>
                  </w:pPr>
                  <w:r>
                    <w:rPr>
                      <w:color w:val="auto"/>
                    </w:rPr>
                    <w:t>供水</w:t>
                  </w:r>
                  <w:r>
                    <w:rPr>
                      <w:rFonts w:hint="eastAsia"/>
                      <w:color w:val="auto"/>
                    </w:rPr>
                    <w:t>使用</w:t>
                  </w:r>
                  <w:r>
                    <w:rPr>
                      <w:rFonts w:hint="eastAsia"/>
                      <w:color w:val="auto"/>
                      <w:lang w:val="en-US" w:eastAsia="zh-CN"/>
                    </w:rPr>
                    <w:t>园区</w:t>
                  </w:r>
                  <w:r>
                    <w:rPr>
                      <w:rFonts w:hint="eastAsia"/>
                      <w:color w:val="auto"/>
                    </w:rPr>
                    <w:t>自来水</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color w:val="auto"/>
                    </w:rPr>
                  </w:pPr>
                  <w:r>
                    <w:rPr>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74"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tcBorders>
                    <w:top w:val="single" w:color="auto" w:sz="4" w:space="0"/>
                    <w:left w:val="single" w:color="auto" w:sz="4" w:space="0"/>
                    <w:bottom w:val="single" w:color="auto" w:sz="4" w:space="0"/>
                    <w:right w:val="single" w:color="auto" w:sz="4" w:space="0"/>
                  </w:tcBorders>
                  <w:noWrap w:val="0"/>
                  <w:vAlign w:val="center"/>
                </w:tcPr>
                <w:p>
                  <w:pPr>
                    <w:pStyle w:val="32"/>
                    <w:bidi w:val="0"/>
                    <w:rPr>
                      <w:color w:val="auto"/>
                    </w:rPr>
                  </w:pPr>
                  <w:r>
                    <w:rPr>
                      <w:color w:val="auto"/>
                    </w:rPr>
                    <w:t>供电</w:t>
                  </w: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color w:val="auto"/>
                    </w:rPr>
                  </w:pPr>
                  <w:r>
                    <w:rPr>
                      <w:rFonts w:hint="eastAsia"/>
                      <w:color w:val="auto"/>
                    </w:rPr>
                    <w:t>接入</w:t>
                  </w:r>
                  <w:r>
                    <w:rPr>
                      <w:rFonts w:hint="eastAsia"/>
                      <w:color w:val="auto"/>
                      <w:lang w:val="en-US" w:eastAsia="zh-CN"/>
                    </w:rPr>
                    <w:t>园区</w:t>
                  </w:r>
                  <w:r>
                    <w:rPr>
                      <w:color w:val="auto"/>
                    </w:rPr>
                    <w:t>电网提供</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color w:val="auto"/>
                    </w:rPr>
                  </w:pPr>
                  <w:r>
                    <w:rPr>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14"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tcBorders>
                    <w:top w:val="single" w:color="auto" w:sz="4" w:space="0"/>
                    <w:left w:val="single" w:color="auto" w:sz="4" w:space="0"/>
                    <w:bottom w:val="single" w:color="auto" w:sz="4" w:space="0"/>
                    <w:right w:val="single" w:color="auto" w:sz="4" w:space="0"/>
                  </w:tcBorders>
                  <w:noWrap w:val="0"/>
                  <w:vAlign w:val="center"/>
                </w:tcPr>
                <w:p>
                  <w:pPr>
                    <w:pStyle w:val="32"/>
                    <w:bidi w:val="0"/>
                    <w:rPr>
                      <w:color w:val="auto"/>
                    </w:rPr>
                  </w:pPr>
                  <w:r>
                    <w:rPr>
                      <w:color w:val="auto"/>
                    </w:rPr>
                    <w:t>供暖</w:t>
                  </w: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rPr>
                  </w:pPr>
                  <w:r>
                    <w:rPr>
                      <w:rFonts w:hint="eastAsia"/>
                      <w:color w:val="auto"/>
                      <w:lang w:val="en-US" w:eastAsia="zh-CN"/>
                    </w:rPr>
                    <w:t>冬季生活供暖采用空气源热泵</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color w:val="auto"/>
                    </w:rPr>
                  </w:pPr>
                  <w:r>
                    <w:rPr>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14"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tcBorders>
                    <w:top w:val="single" w:color="auto" w:sz="4" w:space="0"/>
                    <w:left w:val="single" w:color="auto" w:sz="4" w:space="0"/>
                    <w:bottom w:val="single" w:color="auto" w:sz="4" w:space="0"/>
                    <w:right w:val="single" w:color="auto" w:sz="4" w:space="0"/>
                  </w:tcBorders>
                  <w:noWrap w:val="0"/>
                  <w:vAlign w:val="center"/>
                </w:tcPr>
                <w:p>
                  <w:pPr>
                    <w:pStyle w:val="32"/>
                    <w:bidi w:val="0"/>
                    <w:rPr>
                      <w:rFonts w:hint="eastAsia"/>
                      <w:color w:val="auto"/>
                      <w:lang w:val="en-US" w:eastAsia="zh-CN"/>
                    </w:rPr>
                  </w:pPr>
                  <w:r>
                    <w:rPr>
                      <w:rFonts w:hint="eastAsia"/>
                      <w:color w:val="auto"/>
                      <w:lang w:val="en-US" w:eastAsia="zh-CN"/>
                    </w:rPr>
                    <w:t>生产用蒸汽</w:t>
                  </w: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使用1台3t/h的燃气蒸汽锅炉，为漂烫、消毒工序提供蒸汽，加热、消毒蒸汽均间接加热</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rFonts w:hint="eastAsia"/>
                      <w:color w:val="auto"/>
                      <w:lang w:val="en-US" w:eastAsia="zh-CN"/>
                    </w:rPr>
                  </w:pPr>
                  <w:r>
                    <w:rPr>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723" w:hRule="atLeast"/>
              </w:trPr>
              <w:tc>
                <w:tcPr>
                  <w:tcW w:w="522" w:type="dxa"/>
                  <w:vMerge w:val="restart"/>
                  <w:tcBorders>
                    <w:top w:val="nil"/>
                    <w:left w:val="nil"/>
                    <w:right w:val="single" w:color="auto" w:sz="4" w:space="0"/>
                  </w:tcBorders>
                  <w:noWrap w:val="0"/>
                  <w:vAlign w:val="center"/>
                </w:tcPr>
                <w:p>
                  <w:pPr>
                    <w:pStyle w:val="32"/>
                    <w:bidi w:val="0"/>
                    <w:rPr>
                      <w:color w:val="auto"/>
                    </w:rPr>
                  </w:pPr>
                  <w:r>
                    <w:rPr>
                      <w:color w:val="auto"/>
                    </w:rPr>
                    <w:t>环保工程</w:t>
                  </w:r>
                </w:p>
              </w:tc>
              <w:tc>
                <w:tcPr>
                  <w:tcW w:w="1117" w:type="dxa"/>
                  <w:vMerge w:val="restart"/>
                  <w:tcBorders>
                    <w:top w:val="single" w:color="auto" w:sz="4" w:space="0"/>
                    <w:left w:val="single" w:color="auto" w:sz="4" w:space="0"/>
                    <w:right w:val="single" w:color="auto" w:sz="4" w:space="0"/>
                  </w:tcBorders>
                  <w:noWrap w:val="0"/>
                  <w:vAlign w:val="center"/>
                </w:tcPr>
                <w:p>
                  <w:pPr>
                    <w:pStyle w:val="32"/>
                    <w:bidi w:val="0"/>
                    <w:rPr>
                      <w:color w:val="auto"/>
                    </w:rPr>
                  </w:pPr>
                  <w:r>
                    <w:rPr>
                      <w:color w:val="auto"/>
                    </w:rPr>
                    <w:t>废气</w:t>
                  </w:r>
                </w:p>
              </w:tc>
              <w:tc>
                <w:tcPr>
                  <w:tcW w:w="5464" w:type="dxa"/>
                  <w:tcBorders>
                    <w:top w:val="single" w:color="auto" w:sz="4" w:space="0"/>
                    <w:left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锅炉配套安装低氮燃烧器，</w:t>
                  </w:r>
                  <w:r>
                    <w:rPr>
                      <w:rFonts w:hint="eastAsia"/>
                      <w:color w:val="auto"/>
                      <w:lang w:val="en-US" w:eastAsia="zh-CN"/>
                    </w:rPr>
                    <w:t>废气经1根8m高烟囱排放</w:t>
                  </w:r>
                </w:p>
              </w:tc>
              <w:tc>
                <w:tcPr>
                  <w:tcW w:w="842" w:type="dxa"/>
                  <w:tcBorders>
                    <w:top w:val="single" w:color="auto" w:sz="4" w:space="0"/>
                    <w:left w:val="single" w:color="auto" w:sz="4" w:space="0"/>
                    <w:right w:val="nil"/>
                  </w:tcBorders>
                  <w:noWrap w:val="0"/>
                  <w:vAlign w:val="center"/>
                </w:tcPr>
                <w:p>
                  <w:pPr>
                    <w:pStyle w:val="32"/>
                    <w:bidi w:val="0"/>
                    <w:rPr>
                      <w:color w:val="auto"/>
                    </w:rPr>
                  </w:pPr>
                  <w:r>
                    <w:rPr>
                      <w:rFonts w:hint="eastAsia"/>
                      <w:color w:val="auto"/>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700"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vMerge w:val="continue"/>
                  <w:tcBorders>
                    <w:left w:val="single" w:color="auto" w:sz="4" w:space="0"/>
                    <w:right w:val="single" w:color="auto" w:sz="4" w:space="0"/>
                  </w:tcBorders>
                  <w:noWrap w:val="0"/>
                  <w:vAlign w:val="center"/>
                </w:tcPr>
                <w:p>
                  <w:pPr>
                    <w:pStyle w:val="32"/>
                    <w:bidi w:val="0"/>
                    <w:rPr>
                      <w:color w:val="auto"/>
                    </w:rPr>
                  </w:pPr>
                </w:p>
              </w:tc>
              <w:tc>
                <w:tcPr>
                  <w:tcW w:w="5464" w:type="dxa"/>
                  <w:tcBorders>
                    <w:top w:val="single" w:color="auto" w:sz="4" w:space="0"/>
                    <w:left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发酵废气产生量较小，经生产车间空气净化系统以无组织形式外排</w:t>
                  </w:r>
                </w:p>
              </w:tc>
              <w:tc>
                <w:tcPr>
                  <w:tcW w:w="842" w:type="dxa"/>
                  <w:tcBorders>
                    <w:top w:val="single" w:color="auto" w:sz="4" w:space="0"/>
                    <w:left w:val="single" w:color="auto" w:sz="4" w:space="0"/>
                    <w:right w:val="nil"/>
                  </w:tcBorders>
                  <w:noWrap w:val="0"/>
                  <w:vAlign w:val="center"/>
                </w:tcPr>
                <w:p>
                  <w:pPr>
                    <w:pStyle w:val="32"/>
                    <w:bidi w:val="0"/>
                    <w:rPr>
                      <w:rFonts w:hint="eastAsia"/>
                      <w:color w:val="auto"/>
                      <w:lang w:eastAsia="zh-CN"/>
                    </w:rPr>
                  </w:pPr>
                  <w:r>
                    <w:rPr>
                      <w:rFonts w:hint="eastAsia"/>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621"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vMerge w:val="restart"/>
                  <w:tcBorders>
                    <w:top w:val="single" w:color="auto" w:sz="4" w:space="0"/>
                    <w:left w:val="single" w:color="auto" w:sz="4" w:space="0"/>
                    <w:right w:val="single" w:color="auto" w:sz="4" w:space="0"/>
                  </w:tcBorders>
                  <w:noWrap w:val="0"/>
                  <w:vAlign w:val="center"/>
                </w:tcPr>
                <w:p>
                  <w:pPr>
                    <w:pStyle w:val="32"/>
                    <w:bidi w:val="0"/>
                    <w:rPr>
                      <w:color w:val="auto"/>
                    </w:rPr>
                  </w:pPr>
                  <w:r>
                    <w:rPr>
                      <w:color w:val="auto"/>
                    </w:rPr>
                    <w:t>废水</w:t>
                  </w: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食堂废水经隔油池预处理后同生活污水经1座6m</w:t>
                  </w:r>
                  <w:r>
                    <w:rPr>
                      <w:rFonts w:hint="eastAsia"/>
                      <w:color w:val="auto"/>
                      <w:vertAlign w:val="superscript"/>
                      <w:lang w:val="en-US" w:eastAsia="zh-CN"/>
                    </w:rPr>
                    <w:t>3</w:t>
                  </w:r>
                  <w:r>
                    <w:rPr>
                      <w:rFonts w:hint="eastAsia"/>
                      <w:color w:val="auto"/>
                      <w:lang w:val="en-US" w:eastAsia="zh-CN"/>
                    </w:rPr>
                    <w:t>的化粪池处理后排入园区污水管网</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color w:val="auto"/>
                    </w:rPr>
                  </w:pPr>
                  <w:r>
                    <w:rPr>
                      <w:rFonts w:hint="eastAsia"/>
                      <w:color w:val="auto"/>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621"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vMerge w:val="continue"/>
                  <w:tcBorders>
                    <w:left w:val="single" w:color="auto" w:sz="4" w:space="0"/>
                    <w:right w:val="single" w:color="auto" w:sz="4" w:space="0"/>
                  </w:tcBorders>
                  <w:noWrap w:val="0"/>
                  <w:vAlign w:val="center"/>
                </w:tcPr>
                <w:p>
                  <w:pPr>
                    <w:pStyle w:val="32"/>
                    <w:bidi w:val="0"/>
                    <w:rPr>
                      <w:color w:val="auto"/>
                    </w:rPr>
                  </w:pP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纯水制备废水及锅炉定期排污水收集至1座10m</w:t>
                  </w:r>
                  <w:r>
                    <w:rPr>
                      <w:rFonts w:hint="eastAsia"/>
                      <w:color w:val="auto"/>
                      <w:vertAlign w:val="superscript"/>
                      <w:lang w:val="en-US" w:eastAsia="zh-CN"/>
                    </w:rPr>
                    <w:t>3</w:t>
                  </w:r>
                  <w:r>
                    <w:rPr>
                      <w:rFonts w:hint="eastAsia"/>
                      <w:color w:val="auto"/>
                      <w:lang w:val="en-US" w:eastAsia="zh-CN"/>
                    </w:rPr>
                    <w:t>的降温沉淀池处理后排入园区雨水管网</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color w:val="auto"/>
                    </w:rPr>
                  </w:pPr>
                  <w:r>
                    <w:rPr>
                      <w:rFonts w:hint="eastAsia"/>
                      <w:color w:val="auto"/>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621"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vMerge w:val="continue"/>
                  <w:tcBorders>
                    <w:left w:val="single" w:color="auto" w:sz="4" w:space="0"/>
                    <w:right w:val="single" w:color="auto" w:sz="4" w:space="0"/>
                  </w:tcBorders>
                  <w:noWrap w:val="0"/>
                  <w:vAlign w:val="center"/>
                </w:tcPr>
                <w:p>
                  <w:pPr>
                    <w:pStyle w:val="32"/>
                    <w:bidi w:val="0"/>
                    <w:rPr>
                      <w:color w:val="auto"/>
                    </w:rPr>
                  </w:pP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生产废水</w:t>
                  </w:r>
                  <w:r>
                    <w:rPr>
                      <w:rFonts w:hint="eastAsia"/>
                      <w:color w:val="auto"/>
                      <w:lang w:eastAsia="zh-CN"/>
                    </w:rPr>
                    <w:t>（</w:t>
                  </w:r>
                  <w:r>
                    <w:rPr>
                      <w:rFonts w:hint="eastAsia"/>
                      <w:color w:val="auto"/>
                      <w:lang w:val="en-US" w:eastAsia="zh-CN"/>
                    </w:rPr>
                    <w:t>原料清洗、设备清洗、漂烫废水、冷却清洗废水、地面清洗废水</w:t>
                  </w:r>
                  <w:r>
                    <w:rPr>
                      <w:rFonts w:hint="eastAsia"/>
                      <w:color w:val="auto"/>
                      <w:lang w:eastAsia="zh-CN"/>
                    </w:rPr>
                    <w:t>）</w:t>
                  </w:r>
                  <w:r>
                    <w:rPr>
                      <w:rFonts w:hint="eastAsia"/>
                      <w:color w:val="auto"/>
                      <w:lang w:val="en-US" w:eastAsia="zh-CN"/>
                    </w:rPr>
                    <w:t>收集后经1座23m</w:t>
                  </w:r>
                  <w:r>
                    <w:rPr>
                      <w:rFonts w:hint="eastAsia"/>
                      <w:color w:val="auto"/>
                      <w:vertAlign w:val="superscript"/>
                      <w:lang w:val="en-US" w:eastAsia="zh-CN"/>
                    </w:rPr>
                    <w:t>3</w:t>
                  </w:r>
                  <w:r>
                    <w:rPr>
                      <w:rFonts w:hint="eastAsia" w:ascii="Times New Roman" w:eastAsia="宋体"/>
                      <w:color w:val="auto"/>
                      <w:lang w:val="en-US" w:eastAsia="zh-CN"/>
                    </w:rPr>
                    <w:t>地埋式污水处理设备</w:t>
                  </w:r>
                  <w:r>
                    <w:rPr>
                      <w:rFonts w:hint="eastAsia"/>
                      <w:color w:val="auto"/>
                      <w:lang w:val="en-US" w:eastAsia="zh-CN"/>
                    </w:rPr>
                    <w:t>处理后排入园区污水管网</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color w:val="auto"/>
                    </w:rPr>
                  </w:pPr>
                  <w:r>
                    <w:rPr>
                      <w:rFonts w:hint="eastAsia"/>
                      <w:color w:val="auto"/>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621"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vMerge w:val="continue"/>
                  <w:tcBorders>
                    <w:left w:val="single" w:color="auto" w:sz="4" w:space="0"/>
                    <w:right w:val="single" w:color="auto" w:sz="4" w:space="0"/>
                  </w:tcBorders>
                  <w:noWrap w:val="0"/>
                  <w:vAlign w:val="center"/>
                </w:tcPr>
                <w:p>
                  <w:pPr>
                    <w:pStyle w:val="32"/>
                    <w:bidi w:val="0"/>
                    <w:rPr>
                      <w:color w:val="auto"/>
                    </w:rPr>
                  </w:pP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锅炉蒸汽冷凝水循环使用，不外排</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rFonts w:hint="eastAsia"/>
                      <w:color w:val="auto"/>
                    </w:rPr>
                  </w:pPr>
                  <w:r>
                    <w:rPr>
                      <w:rFonts w:hint="eastAsia"/>
                      <w:color w:val="auto"/>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74"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tcBorders>
                    <w:top w:val="single" w:color="auto" w:sz="4" w:space="0"/>
                    <w:left w:val="single" w:color="auto" w:sz="4" w:space="0"/>
                    <w:bottom w:val="single" w:color="auto" w:sz="4" w:space="0"/>
                    <w:right w:val="single" w:color="auto" w:sz="4" w:space="0"/>
                  </w:tcBorders>
                  <w:noWrap w:val="0"/>
                  <w:vAlign w:val="center"/>
                </w:tcPr>
                <w:p>
                  <w:pPr>
                    <w:pStyle w:val="32"/>
                    <w:bidi w:val="0"/>
                    <w:rPr>
                      <w:color w:val="auto"/>
                    </w:rPr>
                  </w:pPr>
                  <w:r>
                    <w:rPr>
                      <w:color w:val="auto"/>
                    </w:rPr>
                    <w:t>噪声</w:t>
                  </w: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rFonts w:hint="eastAsia"/>
                      <w:color w:val="auto"/>
                    </w:rPr>
                    <w:t>使用低噪声设备，</w:t>
                  </w:r>
                  <w:r>
                    <w:rPr>
                      <w:color w:val="auto"/>
                    </w:rPr>
                    <w:t>禁止鸣笛和超负荷运行；定期对设备维修和保养；对部分高噪声设备加装减震基垫</w:t>
                  </w:r>
                  <w:r>
                    <w:rPr>
                      <w:rFonts w:hint="eastAsia"/>
                      <w:color w:val="auto"/>
                      <w:lang w:eastAsia="zh-CN"/>
                    </w:rPr>
                    <w:t>；</w:t>
                  </w:r>
                  <w:r>
                    <w:rPr>
                      <w:rFonts w:hint="eastAsia"/>
                      <w:color w:val="auto"/>
                      <w:lang w:val="en-US" w:eastAsia="zh-CN"/>
                    </w:rPr>
                    <w:t>锅炉房安装隔声门窗</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color w:val="auto"/>
                    </w:rPr>
                  </w:pPr>
                  <w:r>
                    <w:rPr>
                      <w:rFonts w:hint="eastAsia"/>
                      <w:color w:val="auto"/>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16"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vMerge w:val="restart"/>
                  <w:tcBorders>
                    <w:top w:val="single" w:color="auto" w:sz="4" w:space="0"/>
                    <w:left w:val="single" w:color="auto" w:sz="4" w:space="0"/>
                    <w:right w:val="single" w:color="auto" w:sz="4" w:space="0"/>
                  </w:tcBorders>
                  <w:noWrap w:val="0"/>
                  <w:vAlign w:val="center"/>
                </w:tcPr>
                <w:p>
                  <w:pPr>
                    <w:pStyle w:val="32"/>
                    <w:bidi w:val="0"/>
                    <w:rPr>
                      <w:color w:val="auto"/>
                    </w:rPr>
                  </w:pPr>
                  <w:r>
                    <w:rPr>
                      <w:color w:val="auto"/>
                    </w:rPr>
                    <w:t>固废</w:t>
                  </w: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color w:val="auto"/>
                    </w:rPr>
                    <w:t>生活垃圾</w:t>
                  </w:r>
                  <w:r>
                    <w:rPr>
                      <w:rFonts w:hint="eastAsia"/>
                      <w:color w:val="auto"/>
                    </w:rPr>
                    <w:t>收集后</w:t>
                  </w:r>
                  <w:r>
                    <w:rPr>
                      <w:rFonts w:hint="eastAsia"/>
                      <w:color w:val="auto"/>
                      <w:lang w:val="en-US" w:eastAsia="zh-CN"/>
                    </w:rPr>
                    <w:t>交由园区环卫部门处置</w:t>
                  </w:r>
                </w:p>
              </w:tc>
              <w:tc>
                <w:tcPr>
                  <w:tcW w:w="842" w:type="dxa"/>
                  <w:tcBorders>
                    <w:top w:val="single" w:color="auto" w:sz="4" w:space="0"/>
                    <w:left w:val="single" w:color="auto" w:sz="4" w:space="0"/>
                    <w:bottom w:val="single" w:color="auto" w:sz="4" w:space="0"/>
                    <w:right w:val="nil"/>
                  </w:tcBorders>
                  <w:noWrap w:val="0"/>
                  <w:vAlign w:val="center"/>
                </w:tcPr>
                <w:p>
                  <w:pPr>
                    <w:pStyle w:val="32"/>
                    <w:bidi w:val="0"/>
                    <w:rPr>
                      <w:color w:val="auto"/>
                    </w:rPr>
                  </w:pPr>
                  <w:r>
                    <w:rPr>
                      <w:rFonts w:hint="eastAsia"/>
                      <w:color w:val="auto"/>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16"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vMerge w:val="continue"/>
                  <w:tcBorders>
                    <w:left w:val="single" w:color="auto" w:sz="4" w:space="0"/>
                    <w:right w:val="single" w:color="auto" w:sz="4" w:space="0"/>
                  </w:tcBorders>
                  <w:noWrap w:val="0"/>
                  <w:vAlign w:val="center"/>
                </w:tcPr>
                <w:p>
                  <w:pPr>
                    <w:pStyle w:val="32"/>
                    <w:bidi w:val="0"/>
                    <w:rPr>
                      <w:color w:val="auto"/>
                    </w:rPr>
                  </w:pP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color w:val="auto"/>
                    </w:rPr>
                  </w:pPr>
                  <w:r>
                    <w:rPr>
                      <w:rFonts w:hint="eastAsia"/>
                      <w:color w:val="auto"/>
                      <w:lang w:val="en-US" w:eastAsia="zh-CN"/>
                    </w:rPr>
                    <w:t>拣选杂质、过滤杂质使用带盖容器收集，每日作为饲料赠予周边农户</w:t>
                  </w:r>
                </w:p>
              </w:tc>
              <w:tc>
                <w:tcPr>
                  <w:tcW w:w="842" w:type="dxa"/>
                  <w:tcBorders>
                    <w:top w:val="single" w:color="auto" w:sz="4" w:space="0"/>
                    <w:left w:val="single" w:color="auto" w:sz="4" w:space="0"/>
                    <w:right w:val="nil"/>
                  </w:tcBorders>
                  <w:noWrap w:val="0"/>
                  <w:vAlign w:val="center"/>
                </w:tcPr>
                <w:p>
                  <w:pPr>
                    <w:pStyle w:val="32"/>
                    <w:bidi w:val="0"/>
                    <w:rPr>
                      <w:color w:val="auto"/>
                    </w:rPr>
                  </w:pPr>
                  <w:r>
                    <w:rPr>
                      <w:rFonts w:hint="eastAsia"/>
                      <w:color w:val="auto"/>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16"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vMerge w:val="continue"/>
                  <w:tcBorders>
                    <w:left w:val="single" w:color="auto" w:sz="4" w:space="0"/>
                    <w:right w:val="single" w:color="auto" w:sz="4" w:space="0"/>
                  </w:tcBorders>
                  <w:noWrap w:val="0"/>
                  <w:vAlign w:val="center"/>
                </w:tcPr>
                <w:p>
                  <w:pPr>
                    <w:pStyle w:val="32"/>
                    <w:bidi w:val="0"/>
                    <w:rPr>
                      <w:color w:val="auto"/>
                    </w:rPr>
                  </w:pP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废包装材料分类收集后有价值的外售废品回收站，无利用价值的交由园区环卫部门处置</w:t>
                  </w:r>
                </w:p>
              </w:tc>
              <w:tc>
                <w:tcPr>
                  <w:tcW w:w="842" w:type="dxa"/>
                  <w:tcBorders>
                    <w:top w:val="single" w:color="auto" w:sz="4" w:space="0"/>
                    <w:left w:val="single" w:color="auto" w:sz="4" w:space="0"/>
                    <w:right w:val="nil"/>
                  </w:tcBorders>
                  <w:noWrap w:val="0"/>
                  <w:vAlign w:val="center"/>
                </w:tcPr>
                <w:p>
                  <w:pPr>
                    <w:pStyle w:val="32"/>
                    <w:bidi w:val="0"/>
                    <w:rPr>
                      <w:rFonts w:hint="eastAsia"/>
                      <w:color w:val="auto"/>
                    </w:rPr>
                  </w:pPr>
                  <w:r>
                    <w:rPr>
                      <w:rFonts w:hint="eastAsia"/>
                      <w:color w:val="auto"/>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16"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vMerge w:val="continue"/>
                  <w:tcBorders>
                    <w:left w:val="single" w:color="auto" w:sz="4" w:space="0"/>
                    <w:right w:val="single" w:color="auto" w:sz="4" w:space="0"/>
                  </w:tcBorders>
                  <w:noWrap w:val="0"/>
                  <w:vAlign w:val="center"/>
                </w:tcPr>
                <w:p>
                  <w:pPr>
                    <w:pStyle w:val="32"/>
                    <w:bidi w:val="0"/>
                    <w:rPr>
                      <w:color w:val="auto"/>
                    </w:rPr>
                  </w:pP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不合格浆水人工去除包装后，浆水汇入污水处理站处理，外包装集中收集后交园区环卫部门处置，不合格酸菜收集后作为餐厨垃圾交由有资质单位处置</w:t>
                  </w:r>
                </w:p>
              </w:tc>
              <w:tc>
                <w:tcPr>
                  <w:tcW w:w="842" w:type="dxa"/>
                  <w:tcBorders>
                    <w:top w:val="single" w:color="auto" w:sz="4" w:space="0"/>
                    <w:left w:val="single" w:color="auto" w:sz="4" w:space="0"/>
                    <w:right w:val="nil"/>
                  </w:tcBorders>
                  <w:noWrap w:val="0"/>
                  <w:vAlign w:val="center"/>
                </w:tcPr>
                <w:p>
                  <w:pPr>
                    <w:pStyle w:val="32"/>
                    <w:bidi w:val="0"/>
                    <w:rPr>
                      <w:rFonts w:hint="eastAsia"/>
                      <w:color w:val="auto"/>
                    </w:rPr>
                  </w:pPr>
                  <w:r>
                    <w:rPr>
                      <w:rFonts w:hint="eastAsia"/>
                      <w:color w:val="auto"/>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16"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vMerge w:val="continue"/>
                  <w:tcBorders>
                    <w:left w:val="single" w:color="auto" w:sz="4" w:space="0"/>
                    <w:right w:val="single" w:color="auto" w:sz="4" w:space="0"/>
                  </w:tcBorders>
                  <w:noWrap w:val="0"/>
                  <w:vAlign w:val="center"/>
                </w:tcPr>
                <w:p>
                  <w:pPr>
                    <w:pStyle w:val="32"/>
                    <w:bidi w:val="0"/>
                    <w:rPr>
                      <w:color w:val="auto"/>
                    </w:rPr>
                  </w:pP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lang w:val="en-US" w:eastAsia="zh-CN"/>
                    </w:rPr>
                  </w:pPr>
                  <w:r>
                    <w:rPr>
                      <w:rFonts w:hint="eastAsia"/>
                      <w:color w:val="auto"/>
                      <w:lang w:val="en-US" w:eastAsia="zh-CN"/>
                    </w:rPr>
                    <w:t>纯水制备产生的废滤芯由设备厂家回收处置</w:t>
                  </w:r>
                </w:p>
              </w:tc>
              <w:tc>
                <w:tcPr>
                  <w:tcW w:w="842" w:type="dxa"/>
                  <w:tcBorders>
                    <w:top w:val="single" w:color="auto" w:sz="4" w:space="0"/>
                    <w:left w:val="single" w:color="auto" w:sz="4" w:space="0"/>
                    <w:right w:val="nil"/>
                  </w:tcBorders>
                  <w:noWrap w:val="0"/>
                  <w:vAlign w:val="center"/>
                </w:tcPr>
                <w:p>
                  <w:pPr>
                    <w:pStyle w:val="32"/>
                    <w:bidi w:val="0"/>
                    <w:rPr>
                      <w:rFonts w:hint="eastAsia"/>
                      <w:color w:val="auto"/>
                    </w:rPr>
                  </w:pPr>
                  <w:r>
                    <w:rPr>
                      <w:rFonts w:hint="eastAsia"/>
                      <w:color w:val="auto"/>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16" w:hRule="atLeast"/>
              </w:trPr>
              <w:tc>
                <w:tcPr>
                  <w:tcW w:w="522" w:type="dxa"/>
                  <w:vMerge w:val="continue"/>
                  <w:tcBorders>
                    <w:left w:val="nil"/>
                    <w:right w:val="single" w:color="auto" w:sz="4" w:space="0"/>
                  </w:tcBorders>
                  <w:noWrap w:val="0"/>
                  <w:vAlign w:val="center"/>
                </w:tcPr>
                <w:p>
                  <w:pPr>
                    <w:pStyle w:val="32"/>
                    <w:bidi w:val="0"/>
                    <w:rPr>
                      <w:color w:val="auto"/>
                    </w:rPr>
                  </w:pPr>
                </w:p>
              </w:tc>
              <w:tc>
                <w:tcPr>
                  <w:tcW w:w="1117" w:type="dxa"/>
                  <w:vMerge w:val="continue"/>
                  <w:tcBorders>
                    <w:left w:val="single" w:color="auto" w:sz="4" w:space="0"/>
                    <w:right w:val="single" w:color="auto" w:sz="4" w:space="0"/>
                  </w:tcBorders>
                  <w:noWrap w:val="0"/>
                  <w:vAlign w:val="center"/>
                </w:tcPr>
                <w:p>
                  <w:pPr>
                    <w:pStyle w:val="32"/>
                    <w:bidi w:val="0"/>
                    <w:rPr>
                      <w:color w:val="auto"/>
                    </w:rPr>
                  </w:pPr>
                </w:p>
              </w:tc>
              <w:tc>
                <w:tcPr>
                  <w:tcW w:w="5464" w:type="dxa"/>
                  <w:tcBorders>
                    <w:top w:val="single" w:color="auto" w:sz="4" w:space="0"/>
                    <w:left w:val="single" w:color="auto" w:sz="4" w:space="0"/>
                    <w:bottom w:val="single" w:color="auto" w:sz="4" w:space="0"/>
                    <w:right w:val="nil"/>
                  </w:tcBorders>
                  <w:noWrap w:val="0"/>
                  <w:vAlign w:val="center"/>
                </w:tcPr>
                <w:p>
                  <w:pPr>
                    <w:pStyle w:val="32"/>
                    <w:bidi w:val="0"/>
                    <w:rPr>
                      <w:rFonts w:hint="default"/>
                      <w:color w:val="auto"/>
                      <w:highlight w:val="none"/>
                      <w:lang w:val="en-US" w:eastAsia="zh-CN"/>
                    </w:rPr>
                  </w:pPr>
                  <w:r>
                    <w:rPr>
                      <w:rFonts w:hint="eastAsia"/>
                      <w:color w:val="auto"/>
                      <w:highlight w:val="none"/>
                      <w:lang w:val="en-US" w:eastAsia="zh-CN"/>
                    </w:rPr>
                    <w:t>污泥脱水后拉运至当地垃圾填埋场处置</w:t>
                  </w:r>
                </w:p>
              </w:tc>
              <w:tc>
                <w:tcPr>
                  <w:tcW w:w="842" w:type="dxa"/>
                  <w:tcBorders>
                    <w:left w:val="single" w:color="auto" w:sz="4" w:space="0"/>
                    <w:right w:val="nil"/>
                  </w:tcBorders>
                  <w:noWrap w:val="0"/>
                  <w:vAlign w:val="center"/>
                </w:tcPr>
                <w:p>
                  <w:pPr>
                    <w:pStyle w:val="32"/>
                    <w:bidi w:val="0"/>
                    <w:rPr>
                      <w:rFonts w:hint="eastAsia"/>
                      <w:color w:val="auto"/>
                      <w:highlight w:val="none"/>
                    </w:rPr>
                  </w:pPr>
                  <w:r>
                    <w:rPr>
                      <w:rFonts w:hint="eastAsia"/>
                      <w:color w:val="auto"/>
                      <w:highlight w:val="none"/>
                    </w:rPr>
                    <w:t>新增</w:t>
                  </w:r>
                </w:p>
              </w:tc>
            </w:tr>
          </w:tbl>
          <w:p>
            <w:pPr>
              <w:jc w:val="center"/>
              <w:rPr>
                <w:b/>
                <w:bCs/>
                <w:color w:val="auto"/>
              </w:rPr>
            </w:pPr>
            <w:r>
              <w:rPr>
                <w:b/>
                <w:bCs/>
                <w:color w:val="auto"/>
              </w:rPr>
              <w:t>表2-2   主要构筑物一览表</w:t>
            </w:r>
          </w:p>
          <w:tbl>
            <w:tblPr>
              <w:tblStyle w:val="24"/>
              <w:tblW w:w="805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05"/>
              <w:gridCol w:w="2554"/>
              <w:gridCol w:w="1608"/>
              <w:gridCol w:w="26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205" w:type="dxa"/>
                  <w:noWrap w:val="0"/>
                  <w:vAlign w:val="center"/>
                </w:tcPr>
                <w:p>
                  <w:pPr>
                    <w:pStyle w:val="32"/>
                    <w:bidi w:val="0"/>
                    <w:rPr>
                      <w:color w:val="auto"/>
                    </w:rPr>
                  </w:pPr>
                  <w:r>
                    <w:rPr>
                      <w:color w:val="auto"/>
                    </w:rPr>
                    <w:t>序号</w:t>
                  </w:r>
                </w:p>
              </w:tc>
              <w:tc>
                <w:tcPr>
                  <w:tcW w:w="2554" w:type="dxa"/>
                  <w:noWrap w:val="0"/>
                  <w:vAlign w:val="center"/>
                </w:tcPr>
                <w:p>
                  <w:pPr>
                    <w:pStyle w:val="32"/>
                    <w:bidi w:val="0"/>
                    <w:rPr>
                      <w:color w:val="auto"/>
                    </w:rPr>
                  </w:pPr>
                  <w:r>
                    <w:rPr>
                      <w:color w:val="auto"/>
                    </w:rPr>
                    <w:t>建筑物名称</w:t>
                  </w:r>
                </w:p>
              </w:tc>
              <w:tc>
                <w:tcPr>
                  <w:tcW w:w="1608" w:type="dxa"/>
                  <w:noWrap w:val="0"/>
                  <w:vAlign w:val="center"/>
                </w:tcPr>
                <w:p>
                  <w:pPr>
                    <w:pStyle w:val="32"/>
                    <w:bidi w:val="0"/>
                    <w:rPr>
                      <w:rFonts w:hint="eastAsia"/>
                      <w:color w:val="auto"/>
                    </w:rPr>
                  </w:pPr>
                  <w:r>
                    <w:rPr>
                      <w:color w:val="auto"/>
                    </w:rPr>
                    <w:t>占地面积</w:t>
                  </w:r>
                  <w:r>
                    <w:rPr>
                      <w:rFonts w:hint="eastAsia"/>
                      <w:color w:val="auto"/>
                    </w:rPr>
                    <w:t>m</w:t>
                  </w:r>
                  <w:r>
                    <w:rPr>
                      <w:rFonts w:hint="eastAsia"/>
                      <w:color w:val="auto"/>
                      <w:vertAlign w:val="superscript"/>
                    </w:rPr>
                    <w:t>2</w:t>
                  </w:r>
                </w:p>
              </w:tc>
              <w:tc>
                <w:tcPr>
                  <w:tcW w:w="2689" w:type="dxa"/>
                  <w:noWrap w:val="0"/>
                  <w:vAlign w:val="center"/>
                </w:tcPr>
                <w:p>
                  <w:pPr>
                    <w:pStyle w:val="32"/>
                    <w:bidi w:val="0"/>
                    <w:rPr>
                      <w:color w:val="auto"/>
                    </w:rPr>
                  </w:pPr>
                  <w:r>
                    <w:rPr>
                      <w:color w:val="auto"/>
                    </w:rPr>
                    <w:t>结构形式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205" w:type="dxa"/>
                  <w:noWrap w:val="0"/>
                  <w:vAlign w:val="center"/>
                </w:tcPr>
                <w:p>
                  <w:pPr>
                    <w:pStyle w:val="32"/>
                    <w:bidi w:val="0"/>
                    <w:rPr>
                      <w:color w:val="auto"/>
                    </w:rPr>
                  </w:pPr>
                  <w:r>
                    <w:rPr>
                      <w:color w:val="auto"/>
                    </w:rPr>
                    <w:t>1</w:t>
                  </w:r>
                </w:p>
              </w:tc>
              <w:tc>
                <w:tcPr>
                  <w:tcW w:w="2554" w:type="dxa"/>
                  <w:noWrap w:val="0"/>
                  <w:vAlign w:val="center"/>
                </w:tcPr>
                <w:p>
                  <w:pPr>
                    <w:pStyle w:val="32"/>
                    <w:bidi w:val="0"/>
                    <w:rPr>
                      <w:rFonts w:hint="eastAsia"/>
                      <w:color w:val="auto"/>
                      <w:lang w:val="en-US" w:eastAsia="zh-CN"/>
                    </w:rPr>
                  </w:pPr>
                  <w:r>
                    <w:rPr>
                      <w:rFonts w:hint="eastAsia"/>
                      <w:color w:val="auto"/>
                      <w:lang w:val="en-US" w:eastAsia="zh-CN"/>
                    </w:rPr>
                    <w:t>生产车间</w:t>
                  </w:r>
                </w:p>
              </w:tc>
              <w:tc>
                <w:tcPr>
                  <w:tcW w:w="1608" w:type="dxa"/>
                  <w:noWrap w:val="0"/>
                  <w:vAlign w:val="center"/>
                </w:tcPr>
                <w:p>
                  <w:pPr>
                    <w:pStyle w:val="32"/>
                    <w:bidi w:val="0"/>
                    <w:rPr>
                      <w:rFonts w:hint="default"/>
                      <w:color w:val="auto"/>
                      <w:lang w:val="en-US" w:eastAsia="zh-CN"/>
                    </w:rPr>
                  </w:pPr>
                  <w:r>
                    <w:rPr>
                      <w:rFonts w:hint="eastAsia"/>
                      <w:color w:val="auto"/>
                      <w:lang w:val="en-US" w:eastAsia="zh-CN"/>
                    </w:rPr>
                    <w:t>3240</w:t>
                  </w:r>
                </w:p>
              </w:tc>
              <w:tc>
                <w:tcPr>
                  <w:tcW w:w="2689" w:type="dxa"/>
                  <w:noWrap w:val="0"/>
                  <w:vAlign w:val="center"/>
                </w:tcPr>
                <w:p>
                  <w:pPr>
                    <w:pStyle w:val="32"/>
                    <w:bidi w:val="0"/>
                    <w:rPr>
                      <w:rFonts w:hint="default"/>
                      <w:color w:val="auto"/>
                      <w:lang w:val="en-US" w:eastAsia="zh-CN"/>
                    </w:rPr>
                  </w:pPr>
                  <w:r>
                    <w:rPr>
                      <w:rFonts w:hint="eastAsia"/>
                      <w:color w:val="auto"/>
                      <w:lang w:val="en-US" w:eastAsia="zh-CN"/>
                    </w:rPr>
                    <w:t>钢结构厂房，单层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205" w:type="dxa"/>
                  <w:noWrap w:val="0"/>
                  <w:vAlign w:val="center"/>
                </w:tcPr>
                <w:p>
                  <w:pPr>
                    <w:pStyle w:val="32"/>
                    <w:bidi w:val="0"/>
                    <w:rPr>
                      <w:color w:val="auto"/>
                    </w:rPr>
                  </w:pPr>
                  <w:r>
                    <w:rPr>
                      <w:color w:val="auto"/>
                    </w:rPr>
                    <w:t>2</w:t>
                  </w:r>
                </w:p>
              </w:tc>
              <w:tc>
                <w:tcPr>
                  <w:tcW w:w="2554" w:type="dxa"/>
                  <w:noWrap w:val="0"/>
                  <w:vAlign w:val="center"/>
                </w:tcPr>
                <w:p>
                  <w:pPr>
                    <w:pStyle w:val="32"/>
                    <w:bidi w:val="0"/>
                    <w:rPr>
                      <w:rFonts w:hint="eastAsia"/>
                      <w:color w:val="auto"/>
                      <w:lang w:val="en-US" w:eastAsia="zh-CN"/>
                    </w:rPr>
                  </w:pPr>
                  <w:r>
                    <w:rPr>
                      <w:rFonts w:hint="eastAsia"/>
                      <w:color w:val="auto"/>
                      <w:lang w:val="en-US" w:eastAsia="zh-CN"/>
                    </w:rPr>
                    <w:t>锅炉房</w:t>
                  </w:r>
                </w:p>
              </w:tc>
              <w:tc>
                <w:tcPr>
                  <w:tcW w:w="1608" w:type="dxa"/>
                  <w:noWrap w:val="0"/>
                  <w:vAlign w:val="center"/>
                </w:tcPr>
                <w:p>
                  <w:pPr>
                    <w:pStyle w:val="32"/>
                    <w:bidi w:val="0"/>
                    <w:rPr>
                      <w:rFonts w:hint="default"/>
                      <w:color w:val="auto"/>
                      <w:lang w:val="en-US" w:eastAsia="zh-CN"/>
                    </w:rPr>
                  </w:pPr>
                  <w:r>
                    <w:rPr>
                      <w:rFonts w:hint="eastAsia"/>
                      <w:color w:val="auto"/>
                      <w:lang w:val="en-US" w:eastAsia="zh-CN"/>
                    </w:rPr>
                    <w:t>200.97</w:t>
                  </w:r>
                </w:p>
              </w:tc>
              <w:tc>
                <w:tcPr>
                  <w:tcW w:w="2689" w:type="dxa"/>
                  <w:noWrap w:val="0"/>
                  <w:vAlign w:val="center"/>
                </w:tcPr>
                <w:p>
                  <w:pPr>
                    <w:pStyle w:val="32"/>
                    <w:bidi w:val="0"/>
                    <w:rPr>
                      <w:rFonts w:hint="default"/>
                      <w:color w:val="auto"/>
                      <w:lang w:val="en-US" w:eastAsia="zh-CN"/>
                    </w:rPr>
                  </w:pPr>
                  <w:r>
                    <w:rPr>
                      <w:rFonts w:hint="eastAsia"/>
                      <w:color w:val="auto"/>
                      <w:lang w:val="en-US" w:eastAsia="zh-CN"/>
                    </w:rPr>
                    <w:t>砖混结构，单层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205" w:type="dxa"/>
                  <w:noWrap w:val="0"/>
                  <w:vAlign w:val="center"/>
                </w:tcPr>
                <w:p>
                  <w:pPr>
                    <w:pStyle w:val="32"/>
                    <w:bidi w:val="0"/>
                    <w:rPr>
                      <w:rFonts w:hint="eastAsia"/>
                      <w:color w:val="auto"/>
                    </w:rPr>
                  </w:pPr>
                  <w:r>
                    <w:rPr>
                      <w:rFonts w:hint="eastAsia"/>
                      <w:color w:val="auto"/>
                    </w:rPr>
                    <w:t>3</w:t>
                  </w:r>
                </w:p>
              </w:tc>
              <w:tc>
                <w:tcPr>
                  <w:tcW w:w="2554" w:type="dxa"/>
                  <w:noWrap w:val="0"/>
                  <w:vAlign w:val="center"/>
                </w:tcPr>
                <w:p>
                  <w:pPr>
                    <w:pStyle w:val="32"/>
                    <w:bidi w:val="0"/>
                    <w:rPr>
                      <w:rFonts w:hint="default"/>
                      <w:color w:val="auto"/>
                      <w:lang w:val="en-US" w:eastAsia="zh-CN"/>
                    </w:rPr>
                  </w:pPr>
                  <w:r>
                    <w:rPr>
                      <w:rFonts w:hint="eastAsia"/>
                      <w:color w:val="auto"/>
                      <w:lang w:val="en-US" w:eastAsia="zh-CN"/>
                    </w:rPr>
                    <w:t>常温及低温库</w:t>
                  </w:r>
                </w:p>
              </w:tc>
              <w:tc>
                <w:tcPr>
                  <w:tcW w:w="1608" w:type="dxa"/>
                  <w:noWrap w:val="0"/>
                  <w:vAlign w:val="center"/>
                </w:tcPr>
                <w:p>
                  <w:pPr>
                    <w:pStyle w:val="32"/>
                    <w:bidi w:val="0"/>
                    <w:rPr>
                      <w:rFonts w:hint="default"/>
                      <w:color w:val="auto"/>
                      <w:lang w:val="en-US" w:eastAsia="zh-CN"/>
                    </w:rPr>
                  </w:pPr>
                  <w:r>
                    <w:rPr>
                      <w:rFonts w:hint="eastAsia"/>
                      <w:color w:val="auto"/>
                      <w:lang w:val="en-US" w:eastAsia="zh-CN"/>
                    </w:rPr>
                    <w:t>250</w:t>
                  </w:r>
                </w:p>
              </w:tc>
              <w:tc>
                <w:tcPr>
                  <w:tcW w:w="2689" w:type="dxa"/>
                  <w:noWrap w:val="0"/>
                  <w:vAlign w:val="center"/>
                </w:tcPr>
                <w:p>
                  <w:pPr>
                    <w:pStyle w:val="32"/>
                    <w:bidi w:val="0"/>
                    <w:rPr>
                      <w:rFonts w:hint="default"/>
                      <w:color w:val="auto"/>
                      <w:lang w:val="en-US" w:eastAsia="zh-CN"/>
                    </w:rPr>
                  </w:pPr>
                  <w:r>
                    <w:rPr>
                      <w:rFonts w:hint="eastAsia"/>
                      <w:color w:val="auto"/>
                      <w:lang w:val="en-US" w:eastAsia="zh-CN"/>
                    </w:rPr>
                    <w:t>彩钢结构，单层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205" w:type="dxa"/>
                  <w:noWrap w:val="0"/>
                  <w:vAlign w:val="center"/>
                </w:tcPr>
                <w:p>
                  <w:pPr>
                    <w:pStyle w:val="32"/>
                    <w:bidi w:val="0"/>
                    <w:rPr>
                      <w:rFonts w:hint="eastAsia"/>
                      <w:color w:val="auto"/>
                      <w:lang w:val="en-US" w:eastAsia="zh-CN"/>
                    </w:rPr>
                  </w:pPr>
                  <w:r>
                    <w:rPr>
                      <w:rFonts w:hint="eastAsia"/>
                      <w:color w:val="auto"/>
                      <w:lang w:val="en-US" w:eastAsia="zh-CN"/>
                    </w:rPr>
                    <w:t>4</w:t>
                  </w:r>
                </w:p>
              </w:tc>
              <w:tc>
                <w:tcPr>
                  <w:tcW w:w="2554" w:type="dxa"/>
                  <w:noWrap w:val="0"/>
                  <w:vAlign w:val="center"/>
                </w:tcPr>
                <w:p>
                  <w:pPr>
                    <w:pStyle w:val="32"/>
                    <w:bidi w:val="0"/>
                    <w:rPr>
                      <w:rFonts w:hint="default"/>
                      <w:color w:val="auto"/>
                      <w:lang w:val="en-US" w:eastAsia="zh-CN"/>
                    </w:rPr>
                  </w:pPr>
                  <w:r>
                    <w:rPr>
                      <w:rFonts w:hint="eastAsia"/>
                      <w:color w:val="auto"/>
                      <w:lang w:val="en-US" w:eastAsia="zh-CN"/>
                    </w:rPr>
                    <w:t>办公楼</w:t>
                  </w:r>
                </w:p>
              </w:tc>
              <w:tc>
                <w:tcPr>
                  <w:tcW w:w="1608" w:type="dxa"/>
                  <w:noWrap w:val="0"/>
                  <w:vAlign w:val="center"/>
                </w:tcPr>
                <w:p>
                  <w:pPr>
                    <w:pStyle w:val="32"/>
                    <w:bidi w:val="0"/>
                    <w:rPr>
                      <w:rFonts w:hint="default"/>
                      <w:color w:val="auto"/>
                      <w:lang w:val="en-US" w:eastAsia="zh-CN"/>
                    </w:rPr>
                  </w:pPr>
                  <w:r>
                    <w:rPr>
                      <w:rFonts w:hint="eastAsia"/>
                      <w:color w:val="auto"/>
                      <w:lang w:val="en-US" w:eastAsia="zh-CN"/>
                    </w:rPr>
                    <w:t>544</w:t>
                  </w:r>
                </w:p>
              </w:tc>
              <w:tc>
                <w:tcPr>
                  <w:tcW w:w="2689" w:type="dxa"/>
                  <w:noWrap w:val="0"/>
                  <w:vAlign w:val="center"/>
                </w:tcPr>
                <w:p>
                  <w:pPr>
                    <w:pStyle w:val="32"/>
                    <w:bidi w:val="0"/>
                    <w:rPr>
                      <w:rFonts w:hint="default"/>
                      <w:color w:val="auto"/>
                      <w:lang w:val="en-US" w:eastAsia="zh-CN"/>
                    </w:rPr>
                  </w:pPr>
                  <w:r>
                    <w:rPr>
                      <w:rFonts w:hint="eastAsia"/>
                      <w:color w:val="auto"/>
                      <w:lang w:val="en-US" w:eastAsia="zh-CN"/>
                    </w:rPr>
                    <w:t>砖混结构，2层</w:t>
                  </w:r>
                </w:p>
              </w:tc>
            </w:tr>
          </w:tbl>
          <w:p>
            <w:pPr>
              <w:spacing w:before="20" w:line="360" w:lineRule="auto"/>
              <w:ind w:firstLine="480" w:firstLineChars="200"/>
              <w:rPr>
                <w:color w:val="auto"/>
              </w:rPr>
            </w:pPr>
            <w:r>
              <w:rPr>
                <w:color w:val="auto"/>
              </w:rPr>
              <w:t>3、主要生产设备</w:t>
            </w:r>
          </w:p>
          <w:p>
            <w:pPr>
              <w:spacing w:before="20" w:line="360" w:lineRule="auto"/>
              <w:ind w:firstLine="480" w:firstLineChars="200"/>
              <w:rPr>
                <w:color w:val="auto"/>
              </w:rPr>
            </w:pPr>
            <w:r>
              <w:rPr>
                <w:color w:val="auto"/>
              </w:rPr>
              <w:t>主要生产设备见表2-3所示。</w:t>
            </w:r>
          </w:p>
          <w:p>
            <w:pPr>
              <w:spacing w:line="360" w:lineRule="auto"/>
              <w:jc w:val="center"/>
              <w:rPr>
                <w:b/>
                <w:bCs/>
                <w:color w:val="auto"/>
              </w:rPr>
            </w:pPr>
            <w:r>
              <w:rPr>
                <w:b/>
                <w:bCs/>
                <w:color w:val="auto"/>
              </w:rPr>
              <w:t>表2-3  项目主要设备一览表</w:t>
            </w:r>
          </w:p>
          <w:tbl>
            <w:tblPr>
              <w:tblStyle w:val="24"/>
              <w:tblW w:w="791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875"/>
              <w:gridCol w:w="3631"/>
              <w:gridCol w:w="915"/>
              <w:gridCol w:w="7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noWrap w:val="0"/>
                  <w:vAlign w:val="center"/>
                </w:tcPr>
                <w:p>
                  <w:pPr>
                    <w:pStyle w:val="32"/>
                    <w:bidi w:val="0"/>
                    <w:rPr>
                      <w:color w:val="auto"/>
                    </w:rPr>
                  </w:pPr>
                  <w:r>
                    <w:rPr>
                      <w:color w:val="auto"/>
                    </w:rPr>
                    <w:t>序号</w:t>
                  </w:r>
                </w:p>
              </w:tc>
              <w:tc>
                <w:tcPr>
                  <w:tcW w:w="1875" w:type="dxa"/>
                  <w:noWrap w:val="0"/>
                  <w:vAlign w:val="center"/>
                </w:tcPr>
                <w:p>
                  <w:pPr>
                    <w:pStyle w:val="32"/>
                    <w:bidi w:val="0"/>
                    <w:rPr>
                      <w:color w:val="auto"/>
                    </w:rPr>
                  </w:pPr>
                  <w:r>
                    <w:rPr>
                      <w:color w:val="auto"/>
                    </w:rPr>
                    <w:t>设备名称</w:t>
                  </w:r>
                </w:p>
              </w:tc>
              <w:tc>
                <w:tcPr>
                  <w:tcW w:w="3631" w:type="dxa"/>
                  <w:noWrap w:val="0"/>
                  <w:vAlign w:val="center"/>
                </w:tcPr>
                <w:p>
                  <w:pPr>
                    <w:pStyle w:val="32"/>
                    <w:bidi w:val="0"/>
                    <w:rPr>
                      <w:color w:val="auto"/>
                    </w:rPr>
                  </w:pPr>
                  <w:r>
                    <w:rPr>
                      <w:color w:val="auto"/>
                    </w:rPr>
                    <w:t>规格型号</w:t>
                  </w:r>
                </w:p>
              </w:tc>
              <w:tc>
                <w:tcPr>
                  <w:tcW w:w="915" w:type="dxa"/>
                  <w:noWrap w:val="0"/>
                  <w:vAlign w:val="center"/>
                </w:tcPr>
                <w:p>
                  <w:pPr>
                    <w:pStyle w:val="32"/>
                    <w:bidi w:val="0"/>
                    <w:rPr>
                      <w:color w:val="auto"/>
                    </w:rPr>
                  </w:pPr>
                  <w:r>
                    <w:rPr>
                      <w:color w:val="auto"/>
                    </w:rPr>
                    <w:t>单位</w:t>
                  </w:r>
                </w:p>
              </w:tc>
              <w:tc>
                <w:tcPr>
                  <w:tcW w:w="751" w:type="dxa"/>
                  <w:noWrap w:val="0"/>
                  <w:vAlign w:val="center"/>
                </w:tcPr>
                <w:p>
                  <w:pPr>
                    <w:pStyle w:val="32"/>
                    <w:bidi w:val="0"/>
                    <w:rPr>
                      <w:color w:val="auto"/>
                    </w:rPr>
                  </w:pPr>
                  <w:r>
                    <w:rPr>
                      <w:color w:val="auto"/>
                    </w:rPr>
                    <w:t>数量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noWrap w:val="0"/>
                  <w:vAlign w:val="center"/>
                </w:tcPr>
                <w:p>
                  <w:pPr>
                    <w:pStyle w:val="32"/>
                    <w:bidi w:val="0"/>
                    <w:rPr>
                      <w:color w:val="auto"/>
                    </w:rPr>
                  </w:pPr>
                  <w:r>
                    <w:rPr>
                      <w:color w:val="auto"/>
                    </w:rPr>
                    <w:t>1</w:t>
                  </w:r>
                </w:p>
              </w:tc>
              <w:tc>
                <w:tcPr>
                  <w:tcW w:w="1875" w:type="dxa"/>
                  <w:noWrap w:val="0"/>
                  <w:vAlign w:val="center"/>
                </w:tcPr>
                <w:p>
                  <w:pPr>
                    <w:pStyle w:val="32"/>
                    <w:bidi w:val="0"/>
                    <w:rPr>
                      <w:rFonts w:hint="eastAsia"/>
                      <w:color w:val="auto"/>
                    </w:rPr>
                  </w:pPr>
                  <w:r>
                    <w:rPr>
                      <w:rFonts w:hint="eastAsia"/>
                      <w:color w:val="auto"/>
                      <w:lang w:val="en-US" w:eastAsia="zh-CN"/>
                    </w:rPr>
                    <w:t>净菜线</w:t>
                  </w:r>
                </w:p>
              </w:tc>
              <w:tc>
                <w:tcPr>
                  <w:tcW w:w="3631" w:type="dxa"/>
                  <w:noWrap w:val="0"/>
                  <w:vAlign w:val="center"/>
                </w:tcPr>
                <w:p>
                  <w:pPr>
                    <w:pStyle w:val="32"/>
                    <w:bidi w:val="0"/>
                    <w:rPr>
                      <w:rFonts w:hint="eastAsia"/>
                      <w:color w:val="auto"/>
                      <w:lang w:val="en-US" w:eastAsia="zh-CN"/>
                    </w:rPr>
                  </w:pPr>
                  <w:r>
                    <w:rPr>
                      <w:rFonts w:hint="eastAsia"/>
                      <w:color w:val="auto"/>
                      <w:lang w:val="en-US" w:eastAsia="zh-CN"/>
                    </w:rPr>
                    <w:t>定制（包含清洗、切断、漂烫、甩干、冷却）</w:t>
                  </w:r>
                </w:p>
              </w:tc>
              <w:tc>
                <w:tcPr>
                  <w:tcW w:w="915" w:type="dxa"/>
                  <w:noWrap w:val="0"/>
                  <w:vAlign w:val="center"/>
                </w:tcPr>
                <w:p>
                  <w:pPr>
                    <w:pStyle w:val="32"/>
                    <w:bidi w:val="0"/>
                    <w:rPr>
                      <w:rFonts w:hint="eastAsia"/>
                      <w:color w:val="auto"/>
                      <w:lang w:eastAsia="zh-CN"/>
                    </w:rPr>
                  </w:pPr>
                  <w:r>
                    <w:rPr>
                      <w:rFonts w:hint="eastAsia"/>
                      <w:color w:val="auto"/>
                      <w:lang w:val="en-US" w:eastAsia="zh-CN"/>
                    </w:rPr>
                    <w:t>条</w:t>
                  </w:r>
                </w:p>
              </w:tc>
              <w:tc>
                <w:tcPr>
                  <w:tcW w:w="751" w:type="dxa"/>
                  <w:noWrap w:val="0"/>
                  <w:vAlign w:val="center"/>
                </w:tcPr>
                <w:p>
                  <w:pPr>
                    <w:pStyle w:val="32"/>
                    <w:bidi w:val="0"/>
                    <w:rPr>
                      <w:rFonts w:hint="eastAsia"/>
                      <w:color w:val="auto"/>
                      <w:lang w:val="en-US" w:eastAsia="zh-CN"/>
                    </w:rPr>
                  </w:pPr>
                  <w:r>
                    <w:rPr>
                      <w:rFonts w:hint="eastAsia"/>
                      <w:color w:val="auto"/>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noWrap w:val="0"/>
                  <w:vAlign w:val="center"/>
                </w:tcPr>
                <w:p>
                  <w:pPr>
                    <w:pStyle w:val="32"/>
                    <w:bidi w:val="0"/>
                    <w:rPr>
                      <w:color w:val="auto"/>
                    </w:rPr>
                  </w:pPr>
                  <w:r>
                    <w:rPr>
                      <w:color w:val="auto"/>
                    </w:rPr>
                    <w:t>2</w:t>
                  </w:r>
                </w:p>
              </w:tc>
              <w:tc>
                <w:tcPr>
                  <w:tcW w:w="1875" w:type="dxa"/>
                  <w:noWrap w:val="0"/>
                  <w:vAlign w:val="center"/>
                </w:tcPr>
                <w:p>
                  <w:pPr>
                    <w:pStyle w:val="32"/>
                    <w:bidi w:val="0"/>
                    <w:rPr>
                      <w:color w:val="auto"/>
                    </w:rPr>
                  </w:pPr>
                  <w:r>
                    <w:rPr>
                      <w:rFonts w:hint="eastAsia"/>
                      <w:color w:val="auto"/>
                      <w:lang w:val="en-US" w:eastAsia="zh-CN"/>
                    </w:rPr>
                    <w:t>发酵陶瓷缸</w:t>
                  </w:r>
                </w:p>
              </w:tc>
              <w:tc>
                <w:tcPr>
                  <w:tcW w:w="3631" w:type="dxa"/>
                  <w:noWrap w:val="0"/>
                  <w:vAlign w:val="center"/>
                </w:tcPr>
                <w:p>
                  <w:pPr>
                    <w:pStyle w:val="32"/>
                    <w:bidi w:val="0"/>
                    <w:rPr>
                      <w:color w:val="auto"/>
                    </w:rPr>
                  </w:pPr>
                  <w:r>
                    <w:rPr>
                      <w:rFonts w:hint="eastAsia"/>
                      <w:color w:val="auto"/>
                      <w:lang w:val="en-US" w:eastAsia="zh-CN"/>
                    </w:rPr>
                    <w:t>容积/个/650kg</w:t>
                  </w:r>
                </w:p>
              </w:tc>
              <w:tc>
                <w:tcPr>
                  <w:tcW w:w="915" w:type="dxa"/>
                  <w:noWrap w:val="0"/>
                  <w:vAlign w:val="center"/>
                </w:tcPr>
                <w:p>
                  <w:pPr>
                    <w:pStyle w:val="32"/>
                    <w:bidi w:val="0"/>
                    <w:rPr>
                      <w:color w:val="auto"/>
                    </w:rPr>
                  </w:pPr>
                  <w:r>
                    <w:rPr>
                      <w:rFonts w:hint="eastAsia"/>
                      <w:color w:val="auto"/>
                      <w:lang w:val="en-US" w:eastAsia="zh-CN"/>
                    </w:rPr>
                    <w:t>个</w:t>
                  </w:r>
                </w:p>
              </w:tc>
              <w:tc>
                <w:tcPr>
                  <w:tcW w:w="751" w:type="dxa"/>
                  <w:noWrap w:val="0"/>
                  <w:vAlign w:val="center"/>
                </w:tcPr>
                <w:p>
                  <w:pPr>
                    <w:pStyle w:val="32"/>
                    <w:bidi w:val="0"/>
                    <w:rPr>
                      <w:color w:val="auto"/>
                    </w:rPr>
                  </w:pPr>
                  <w:r>
                    <w:rPr>
                      <w:rFonts w:hint="eastAsia"/>
                      <w:color w:val="auto"/>
                      <w:lang w:val="en-US" w:eastAsia="zh-CN"/>
                    </w:rPr>
                    <w:t>387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noWrap w:val="0"/>
                  <w:vAlign w:val="center"/>
                </w:tcPr>
                <w:p>
                  <w:pPr>
                    <w:pStyle w:val="32"/>
                    <w:bidi w:val="0"/>
                    <w:rPr>
                      <w:color w:val="auto"/>
                    </w:rPr>
                  </w:pPr>
                  <w:r>
                    <w:rPr>
                      <w:color w:val="auto"/>
                    </w:rPr>
                    <w:t>3</w:t>
                  </w:r>
                </w:p>
              </w:tc>
              <w:tc>
                <w:tcPr>
                  <w:tcW w:w="1875" w:type="dxa"/>
                  <w:noWrap w:val="0"/>
                  <w:vAlign w:val="center"/>
                </w:tcPr>
                <w:p>
                  <w:pPr>
                    <w:pStyle w:val="32"/>
                    <w:bidi w:val="0"/>
                    <w:rPr>
                      <w:rFonts w:hint="default"/>
                      <w:color w:val="auto"/>
                      <w:lang w:val="en-US" w:eastAsia="zh-CN"/>
                    </w:rPr>
                  </w:pPr>
                  <w:r>
                    <w:rPr>
                      <w:rFonts w:hint="eastAsia"/>
                      <w:color w:val="auto"/>
                      <w:lang w:val="en-US" w:eastAsia="zh-CN"/>
                    </w:rPr>
                    <w:t>水泵</w:t>
                  </w:r>
                </w:p>
              </w:tc>
              <w:tc>
                <w:tcPr>
                  <w:tcW w:w="3631" w:type="dxa"/>
                  <w:noWrap w:val="0"/>
                  <w:vAlign w:val="center"/>
                </w:tcPr>
                <w:p>
                  <w:pPr>
                    <w:pStyle w:val="32"/>
                    <w:bidi w:val="0"/>
                    <w:rPr>
                      <w:rFonts w:hint="default"/>
                      <w:color w:val="auto"/>
                      <w:lang w:val="en-US" w:eastAsia="zh-CN"/>
                    </w:rPr>
                  </w:pPr>
                  <w:r>
                    <w:rPr>
                      <w:rFonts w:hint="eastAsia"/>
                      <w:color w:val="auto"/>
                      <w:lang w:val="en-US" w:eastAsia="zh-CN"/>
                    </w:rPr>
                    <w:t>/</w:t>
                  </w:r>
                </w:p>
              </w:tc>
              <w:tc>
                <w:tcPr>
                  <w:tcW w:w="915" w:type="dxa"/>
                  <w:noWrap w:val="0"/>
                  <w:vAlign w:val="center"/>
                </w:tcPr>
                <w:p>
                  <w:pPr>
                    <w:pStyle w:val="32"/>
                    <w:bidi w:val="0"/>
                    <w:rPr>
                      <w:rFonts w:hint="eastAsia"/>
                      <w:color w:val="auto"/>
                      <w:lang w:val="en-US" w:eastAsia="zh-CN"/>
                    </w:rPr>
                  </w:pPr>
                  <w:r>
                    <w:rPr>
                      <w:rFonts w:hint="eastAsia"/>
                      <w:color w:val="auto"/>
                      <w:lang w:val="en-US" w:eastAsia="zh-CN"/>
                    </w:rPr>
                    <w:t>台</w:t>
                  </w:r>
                </w:p>
              </w:tc>
              <w:tc>
                <w:tcPr>
                  <w:tcW w:w="751" w:type="dxa"/>
                  <w:noWrap w:val="0"/>
                  <w:vAlign w:val="center"/>
                </w:tcPr>
                <w:p>
                  <w:pPr>
                    <w:pStyle w:val="32"/>
                    <w:bidi w:val="0"/>
                    <w:rPr>
                      <w:rFonts w:hint="default"/>
                      <w:color w:val="auto"/>
                      <w:lang w:val="en-US" w:eastAsia="zh-CN"/>
                    </w:rPr>
                  </w:pPr>
                  <w:r>
                    <w:rPr>
                      <w:rFonts w:hint="eastAsia"/>
                      <w:color w:val="auto"/>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noWrap w:val="0"/>
                  <w:vAlign w:val="center"/>
                </w:tcPr>
                <w:p>
                  <w:pPr>
                    <w:pStyle w:val="32"/>
                    <w:bidi w:val="0"/>
                    <w:rPr>
                      <w:color w:val="auto"/>
                    </w:rPr>
                  </w:pPr>
                  <w:r>
                    <w:rPr>
                      <w:color w:val="auto"/>
                    </w:rPr>
                    <w:t>4</w:t>
                  </w:r>
                </w:p>
              </w:tc>
              <w:tc>
                <w:tcPr>
                  <w:tcW w:w="1875" w:type="dxa"/>
                  <w:noWrap w:val="0"/>
                  <w:vAlign w:val="center"/>
                </w:tcPr>
                <w:p>
                  <w:pPr>
                    <w:pStyle w:val="32"/>
                    <w:bidi w:val="0"/>
                    <w:rPr>
                      <w:rFonts w:hint="eastAsia"/>
                      <w:color w:val="auto"/>
                      <w:lang w:val="en-US" w:eastAsia="zh-CN"/>
                    </w:rPr>
                  </w:pPr>
                  <w:r>
                    <w:rPr>
                      <w:rFonts w:hint="eastAsia"/>
                      <w:color w:val="auto"/>
                      <w:lang w:val="en-US" w:eastAsia="zh-CN"/>
                    </w:rPr>
                    <w:t>精密双联过滤器</w:t>
                  </w:r>
                </w:p>
              </w:tc>
              <w:tc>
                <w:tcPr>
                  <w:tcW w:w="3631" w:type="dxa"/>
                  <w:noWrap w:val="0"/>
                  <w:vAlign w:val="center"/>
                </w:tcPr>
                <w:p>
                  <w:pPr>
                    <w:pStyle w:val="32"/>
                    <w:bidi w:val="0"/>
                    <w:rPr>
                      <w:rFonts w:hint="eastAsia"/>
                      <w:color w:val="auto"/>
                      <w:lang w:val="en-US" w:eastAsia="zh-CN"/>
                    </w:rPr>
                  </w:pPr>
                  <w:r>
                    <w:rPr>
                      <w:rFonts w:hint="eastAsia"/>
                      <w:color w:val="auto"/>
                      <w:lang w:val="en-US" w:eastAsia="zh-CN"/>
                    </w:rPr>
                    <w:t>订制/5t</w:t>
                  </w:r>
                </w:p>
              </w:tc>
              <w:tc>
                <w:tcPr>
                  <w:tcW w:w="915" w:type="dxa"/>
                  <w:noWrap w:val="0"/>
                  <w:vAlign w:val="center"/>
                </w:tcPr>
                <w:p>
                  <w:pPr>
                    <w:pStyle w:val="32"/>
                    <w:bidi w:val="0"/>
                    <w:rPr>
                      <w:rFonts w:hint="eastAsia"/>
                      <w:color w:val="auto"/>
                      <w:lang w:val="en-US" w:eastAsia="zh-CN"/>
                    </w:rPr>
                  </w:pPr>
                  <w:r>
                    <w:rPr>
                      <w:rFonts w:hint="eastAsia"/>
                      <w:color w:val="auto"/>
                      <w:lang w:val="en-US" w:eastAsia="zh-CN"/>
                    </w:rPr>
                    <w:t>套</w:t>
                  </w:r>
                </w:p>
              </w:tc>
              <w:tc>
                <w:tcPr>
                  <w:tcW w:w="751" w:type="dxa"/>
                  <w:noWrap w:val="0"/>
                  <w:vAlign w:val="center"/>
                </w:tcPr>
                <w:p>
                  <w:pPr>
                    <w:pStyle w:val="32"/>
                    <w:bidi w:val="0"/>
                    <w:rPr>
                      <w:rFonts w:hint="eastAsia"/>
                      <w:color w:val="auto"/>
                      <w:lang w:val="en-US" w:eastAsia="zh-CN"/>
                    </w:rPr>
                  </w:pPr>
                  <w:r>
                    <w:rPr>
                      <w:rFonts w:hint="eastAsia"/>
                      <w:color w:val="auto"/>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noWrap w:val="0"/>
                  <w:vAlign w:val="center"/>
                </w:tcPr>
                <w:p>
                  <w:pPr>
                    <w:pStyle w:val="32"/>
                    <w:bidi w:val="0"/>
                    <w:rPr>
                      <w:color w:val="auto"/>
                    </w:rPr>
                  </w:pPr>
                  <w:r>
                    <w:rPr>
                      <w:rFonts w:hint="eastAsia"/>
                      <w:color w:val="auto"/>
                      <w:lang w:val="en-US" w:eastAsia="zh-CN"/>
                    </w:rPr>
                    <w:t>5</w:t>
                  </w:r>
                </w:p>
              </w:tc>
              <w:tc>
                <w:tcPr>
                  <w:tcW w:w="1875" w:type="dxa"/>
                  <w:noWrap w:val="0"/>
                  <w:vAlign w:val="center"/>
                </w:tcPr>
                <w:p>
                  <w:pPr>
                    <w:pStyle w:val="32"/>
                    <w:bidi w:val="0"/>
                    <w:rPr>
                      <w:color w:val="auto"/>
                    </w:rPr>
                  </w:pPr>
                  <w:r>
                    <w:rPr>
                      <w:rFonts w:hint="eastAsia"/>
                      <w:color w:val="auto"/>
                      <w:lang w:val="en-US" w:eastAsia="zh-CN"/>
                    </w:rPr>
                    <w:t>原液暂存罐</w:t>
                  </w:r>
                </w:p>
              </w:tc>
              <w:tc>
                <w:tcPr>
                  <w:tcW w:w="3631" w:type="dxa"/>
                  <w:noWrap w:val="0"/>
                  <w:vAlign w:val="center"/>
                </w:tcPr>
                <w:p>
                  <w:pPr>
                    <w:pStyle w:val="32"/>
                    <w:bidi w:val="0"/>
                    <w:rPr>
                      <w:color w:val="auto"/>
                    </w:rPr>
                  </w:pPr>
                  <w:r>
                    <w:rPr>
                      <w:rFonts w:hint="eastAsia"/>
                      <w:color w:val="auto"/>
                      <w:lang w:val="en-US" w:eastAsia="zh-CN"/>
                    </w:rPr>
                    <w:t>订制/5t</w:t>
                  </w:r>
                </w:p>
              </w:tc>
              <w:tc>
                <w:tcPr>
                  <w:tcW w:w="915" w:type="dxa"/>
                  <w:noWrap w:val="0"/>
                  <w:vAlign w:val="center"/>
                </w:tcPr>
                <w:p>
                  <w:pPr>
                    <w:pStyle w:val="32"/>
                    <w:bidi w:val="0"/>
                    <w:rPr>
                      <w:color w:val="auto"/>
                    </w:rPr>
                  </w:pPr>
                  <w:r>
                    <w:rPr>
                      <w:rFonts w:hint="eastAsia"/>
                      <w:color w:val="auto"/>
                      <w:lang w:val="en-US" w:eastAsia="zh-CN"/>
                    </w:rPr>
                    <w:t>台</w:t>
                  </w:r>
                </w:p>
              </w:tc>
              <w:tc>
                <w:tcPr>
                  <w:tcW w:w="751" w:type="dxa"/>
                  <w:noWrap w:val="0"/>
                  <w:vAlign w:val="center"/>
                </w:tcPr>
                <w:p>
                  <w:pPr>
                    <w:pStyle w:val="32"/>
                    <w:bidi w:val="0"/>
                    <w:rPr>
                      <w:rFonts w:hint="eastAsia"/>
                      <w:color w:val="auto"/>
                      <w:lang w:eastAsia="zh-CN"/>
                    </w:rPr>
                  </w:pPr>
                  <w:r>
                    <w:rPr>
                      <w:rFonts w:hint="eastAsia"/>
                      <w:color w:val="auto"/>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noWrap w:val="0"/>
                  <w:vAlign w:val="center"/>
                </w:tcPr>
                <w:p>
                  <w:pPr>
                    <w:pStyle w:val="32"/>
                    <w:bidi w:val="0"/>
                    <w:rPr>
                      <w:color w:val="auto"/>
                    </w:rPr>
                  </w:pPr>
                  <w:r>
                    <w:rPr>
                      <w:rFonts w:hint="eastAsia"/>
                      <w:color w:val="auto"/>
                      <w:lang w:val="en-US" w:eastAsia="zh-CN"/>
                    </w:rPr>
                    <w:t>6</w:t>
                  </w:r>
                </w:p>
              </w:tc>
              <w:tc>
                <w:tcPr>
                  <w:tcW w:w="1875" w:type="dxa"/>
                  <w:noWrap w:val="0"/>
                  <w:vAlign w:val="center"/>
                </w:tcPr>
                <w:p>
                  <w:pPr>
                    <w:pStyle w:val="32"/>
                    <w:bidi w:val="0"/>
                    <w:rPr>
                      <w:rFonts w:hint="default"/>
                      <w:color w:val="auto"/>
                      <w:lang w:val="en-US" w:eastAsia="zh-CN"/>
                    </w:rPr>
                  </w:pPr>
                  <w:r>
                    <w:rPr>
                      <w:rFonts w:hint="eastAsia"/>
                      <w:color w:val="auto"/>
                      <w:lang w:val="en-US" w:eastAsia="zh-CN"/>
                    </w:rPr>
                    <w:t>发酵热水罐</w:t>
                  </w:r>
                </w:p>
              </w:tc>
              <w:tc>
                <w:tcPr>
                  <w:tcW w:w="3631" w:type="dxa"/>
                  <w:noWrap w:val="0"/>
                  <w:vAlign w:val="center"/>
                </w:tcPr>
                <w:p>
                  <w:pPr>
                    <w:pStyle w:val="32"/>
                    <w:bidi w:val="0"/>
                    <w:rPr>
                      <w:rFonts w:hint="default"/>
                      <w:color w:val="auto"/>
                      <w:lang w:val="en-US" w:eastAsia="zh-CN"/>
                    </w:rPr>
                  </w:pPr>
                  <w:r>
                    <w:rPr>
                      <w:rFonts w:hint="eastAsia"/>
                      <w:color w:val="auto"/>
                      <w:lang w:val="en-US" w:eastAsia="zh-CN"/>
                    </w:rPr>
                    <w:t>4t</w:t>
                  </w:r>
                </w:p>
              </w:tc>
              <w:tc>
                <w:tcPr>
                  <w:tcW w:w="915" w:type="dxa"/>
                  <w:noWrap w:val="0"/>
                  <w:vAlign w:val="center"/>
                </w:tcPr>
                <w:p>
                  <w:pPr>
                    <w:pStyle w:val="32"/>
                    <w:bidi w:val="0"/>
                    <w:rPr>
                      <w:rFonts w:hint="default"/>
                      <w:color w:val="auto"/>
                      <w:lang w:val="en-US" w:eastAsia="zh-CN"/>
                    </w:rPr>
                  </w:pPr>
                  <w:r>
                    <w:rPr>
                      <w:rFonts w:hint="eastAsia"/>
                      <w:color w:val="auto"/>
                      <w:lang w:val="en-US" w:eastAsia="zh-CN"/>
                    </w:rPr>
                    <w:t>个</w:t>
                  </w:r>
                </w:p>
              </w:tc>
              <w:tc>
                <w:tcPr>
                  <w:tcW w:w="751" w:type="dxa"/>
                  <w:noWrap w:val="0"/>
                  <w:vAlign w:val="center"/>
                </w:tcPr>
                <w:p>
                  <w:pPr>
                    <w:pStyle w:val="32"/>
                    <w:bidi w:val="0"/>
                    <w:rPr>
                      <w:rFonts w:hint="default"/>
                      <w:color w:val="auto"/>
                      <w:lang w:val="en-US" w:eastAsia="zh-CN"/>
                    </w:rPr>
                  </w:pPr>
                  <w:r>
                    <w:rPr>
                      <w:rFonts w:hint="eastAsia"/>
                      <w:color w:val="auto"/>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noWrap w:val="0"/>
                  <w:vAlign w:val="center"/>
                </w:tcPr>
                <w:p>
                  <w:pPr>
                    <w:pStyle w:val="32"/>
                    <w:bidi w:val="0"/>
                    <w:rPr>
                      <w:rFonts w:hint="eastAsia"/>
                      <w:color w:val="auto"/>
                      <w:lang w:val="en-US" w:eastAsia="zh-CN"/>
                    </w:rPr>
                  </w:pPr>
                  <w:r>
                    <w:rPr>
                      <w:rFonts w:hint="eastAsia"/>
                      <w:color w:val="auto"/>
                      <w:lang w:val="en-US" w:eastAsia="zh-CN"/>
                    </w:rPr>
                    <w:t>7</w:t>
                  </w:r>
                </w:p>
              </w:tc>
              <w:tc>
                <w:tcPr>
                  <w:tcW w:w="1875" w:type="dxa"/>
                  <w:noWrap w:val="0"/>
                  <w:vAlign w:val="center"/>
                </w:tcPr>
                <w:p>
                  <w:pPr>
                    <w:pStyle w:val="32"/>
                    <w:bidi w:val="0"/>
                    <w:rPr>
                      <w:rFonts w:hint="default"/>
                      <w:color w:val="auto"/>
                      <w:lang w:val="en-US" w:eastAsia="zh-CN"/>
                    </w:rPr>
                  </w:pPr>
                  <w:r>
                    <w:rPr>
                      <w:rFonts w:hint="eastAsia"/>
                      <w:color w:val="auto"/>
                      <w:lang w:val="en-US" w:eastAsia="zh-CN"/>
                    </w:rPr>
                    <w:t>面汤搅拌罐</w:t>
                  </w:r>
                </w:p>
              </w:tc>
              <w:tc>
                <w:tcPr>
                  <w:tcW w:w="3631" w:type="dxa"/>
                  <w:noWrap w:val="0"/>
                  <w:vAlign w:val="center"/>
                </w:tcPr>
                <w:p>
                  <w:pPr>
                    <w:pStyle w:val="32"/>
                    <w:bidi w:val="0"/>
                    <w:rPr>
                      <w:rFonts w:hint="eastAsia"/>
                      <w:color w:val="auto"/>
                      <w:lang w:val="en-US" w:eastAsia="zh-CN"/>
                    </w:rPr>
                  </w:pPr>
                  <w:r>
                    <w:rPr>
                      <w:rFonts w:hint="eastAsia"/>
                      <w:color w:val="auto"/>
                      <w:lang w:val="en-US" w:eastAsia="zh-CN"/>
                    </w:rPr>
                    <w:t>/</w:t>
                  </w:r>
                </w:p>
              </w:tc>
              <w:tc>
                <w:tcPr>
                  <w:tcW w:w="915" w:type="dxa"/>
                  <w:noWrap w:val="0"/>
                  <w:vAlign w:val="center"/>
                </w:tcPr>
                <w:p>
                  <w:pPr>
                    <w:pStyle w:val="32"/>
                    <w:bidi w:val="0"/>
                    <w:rPr>
                      <w:color w:val="auto"/>
                    </w:rPr>
                  </w:pPr>
                  <w:r>
                    <w:rPr>
                      <w:rFonts w:hint="eastAsia"/>
                      <w:color w:val="auto"/>
                      <w:lang w:val="en-US" w:eastAsia="zh-CN"/>
                    </w:rPr>
                    <w:t>台</w:t>
                  </w:r>
                </w:p>
              </w:tc>
              <w:tc>
                <w:tcPr>
                  <w:tcW w:w="751" w:type="dxa"/>
                  <w:noWrap w:val="0"/>
                  <w:vAlign w:val="center"/>
                </w:tcPr>
                <w:p>
                  <w:pPr>
                    <w:pStyle w:val="32"/>
                    <w:bidi w:val="0"/>
                    <w:rPr>
                      <w:rFonts w:hint="default"/>
                      <w:color w:val="auto"/>
                      <w:lang w:val="en-US" w:eastAsia="zh-CN"/>
                    </w:rPr>
                  </w:pPr>
                  <w:r>
                    <w:rPr>
                      <w:rFonts w:hint="eastAsia"/>
                      <w:color w:val="auto"/>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noWrap w:val="0"/>
                  <w:vAlign w:val="center"/>
                </w:tcPr>
                <w:p>
                  <w:pPr>
                    <w:pStyle w:val="32"/>
                    <w:bidi w:val="0"/>
                    <w:rPr>
                      <w:rFonts w:hint="eastAsia"/>
                      <w:color w:val="auto"/>
                      <w:lang w:val="en-US" w:eastAsia="zh-CN"/>
                    </w:rPr>
                  </w:pPr>
                  <w:r>
                    <w:rPr>
                      <w:rFonts w:hint="eastAsia"/>
                      <w:color w:val="auto"/>
                      <w:lang w:val="en-US" w:eastAsia="zh-CN"/>
                    </w:rPr>
                    <w:t>8</w:t>
                  </w:r>
                </w:p>
              </w:tc>
              <w:tc>
                <w:tcPr>
                  <w:tcW w:w="1875" w:type="dxa"/>
                  <w:noWrap w:val="0"/>
                  <w:vAlign w:val="center"/>
                </w:tcPr>
                <w:p>
                  <w:pPr>
                    <w:pStyle w:val="32"/>
                    <w:bidi w:val="0"/>
                    <w:rPr>
                      <w:rFonts w:hint="default"/>
                      <w:color w:val="auto"/>
                      <w:lang w:val="en-US" w:eastAsia="zh-CN"/>
                    </w:rPr>
                  </w:pPr>
                  <w:r>
                    <w:rPr>
                      <w:rFonts w:hint="eastAsia"/>
                      <w:color w:val="auto"/>
                      <w:lang w:val="en-US" w:eastAsia="zh-CN"/>
                    </w:rPr>
                    <w:t>自动包装机</w:t>
                  </w:r>
                </w:p>
              </w:tc>
              <w:tc>
                <w:tcPr>
                  <w:tcW w:w="3631" w:type="dxa"/>
                  <w:noWrap w:val="0"/>
                  <w:vAlign w:val="center"/>
                </w:tcPr>
                <w:p>
                  <w:pPr>
                    <w:pStyle w:val="32"/>
                    <w:bidi w:val="0"/>
                    <w:rPr>
                      <w:rFonts w:hint="default"/>
                      <w:color w:val="auto"/>
                      <w:lang w:val="en-US" w:eastAsia="zh-CN"/>
                    </w:rPr>
                  </w:pPr>
                  <w:r>
                    <w:rPr>
                      <w:rFonts w:hint="eastAsia"/>
                      <w:color w:val="auto"/>
                      <w:lang w:val="en-US" w:eastAsia="zh-CN"/>
                    </w:rPr>
                    <w:t>MR-200R</w:t>
                  </w:r>
                </w:p>
              </w:tc>
              <w:tc>
                <w:tcPr>
                  <w:tcW w:w="915" w:type="dxa"/>
                  <w:noWrap w:val="0"/>
                  <w:vAlign w:val="center"/>
                </w:tcPr>
                <w:p>
                  <w:pPr>
                    <w:pStyle w:val="32"/>
                    <w:bidi w:val="0"/>
                    <w:rPr>
                      <w:rFonts w:hint="default"/>
                      <w:color w:val="auto"/>
                      <w:lang w:val="en-US" w:eastAsia="zh-CN"/>
                    </w:rPr>
                  </w:pPr>
                  <w:r>
                    <w:rPr>
                      <w:rFonts w:hint="eastAsia"/>
                      <w:color w:val="auto"/>
                      <w:lang w:val="en-US" w:eastAsia="zh-CN"/>
                    </w:rPr>
                    <w:t>台</w:t>
                  </w:r>
                </w:p>
              </w:tc>
              <w:tc>
                <w:tcPr>
                  <w:tcW w:w="751" w:type="dxa"/>
                  <w:noWrap w:val="0"/>
                  <w:vAlign w:val="center"/>
                </w:tcPr>
                <w:p>
                  <w:pPr>
                    <w:pStyle w:val="32"/>
                    <w:bidi w:val="0"/>
                    <w:rPr>
                      <w:rFonts w:hint="default"/>
                      <w:color w:val="auto"/>
                      <w:lang w:val="en-US" w:eastAsia="zh-CN"/>
                    </w:rPr>
                  </w:pPr>
                  <w:r>
                    <w:rPr>
                      <w:rFonts w:hint="eastAsia"/>
                      <w:color w:val="auto"/>
                      <w:lang w:val="en-US" w:eastAsia="zh-CN"/>
                    </w:rPr>
                    <w:t>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noWrap w:val="0"/>
                  <w:vAlign w:val="center"/>
                </w:tcPr>
                <w:p>
                  <w:pPr>
                    <w:pStyle w:val="32"/>
                    <w:bidi w:val="0"/>
                    <w:rPr>
                      <w:rFonts w:hint="eastAsia"/>
                      <w:color w:val="auto"/>
                      <w:lang w:val="en-US" w:eastAsia="zh-CN"/>
                    </w:rPr>
                  </w:pPr>
                  <w:r>
                    <w:rPr>
                      <w:rFonts w:hint="eastAsia"/>
                      <w:color w:val="auto"/>
                      <w:lang w:val="en-US" w:eastAsia="zh-CN"/>
                    </w:rPr>
                    <w:t>9</w:t>
                  </w:r>
                </w:p>
              </w:tc>
              <w:tc>
                <w:tcPr>
                  <w:tcW w:w="1875" w:type="dxa"/>
                  <w:noWrap w:val="0"/>
                  <w:vAlign w:val="center"/>
                </w:tcPr>
                <w:p>
                  <w:pPr>
                    <w:pStyle w:val="32"/>
                    <w:bidi w:val="0"/>
                    <w:rPr>
                      <w:rFonts w:hint="default"/>
                      <w:color w:val="auto"/>
                      <w:lang w:val="en-US" w:eastAsia="zh-CN"/>
                    </w:rPr>
                  </w:pPr>
                  <w:r>
                    <w:rPr>
                      <w:rFonts w:hint="eastAsia"/>
                      <w:color w:val="auto"/>
                      <w:lang w:val="en-US" w:eastAsia="zh-CN"/>
                    </w:rPr>
                    <w:t>自动真空包装机</w:t>
                  </w:r>
                </w:p>
              </w:tc>
              <w:tc>
                <w:tcPr>
                  <w:tcW w:w="3631" w:type="dxa"/>
                  <w:noWrap w:val="0"/>
                  <w:vAlign w:val="center"/>
                </w:tcPr>
                <w:p>
                  <w:pPr>
                    <w:pStyle w:val="32"/>
                    <w:bidi w:val="0"/>
                    <w:rPr>
                      <w:rFonts w:hint="default"/>
                      <w:color w:val="auto"/>
                      <w:lang w:val="en-US" w:eastAsia="zh-CN"/>
                    </w:rPr>
                  </w:pPr>
                  <w:r>
                    <w:rPr>
                      <w:rFonts w:hint="eastAsia"/>
                      <w:color w:val="auto"/>
                      <w:lang w:val="en-US" w:eastAsia="zh-CN"/>
                    </w:rPr>
                    <w:t>MR-160A</w:t>
                  </w:r>
                </w:p>
              </w:tc>
              <w:tc>
                <w:tcPr>
                  <w:tcW w:w="915" w:type="dxa"/>
                  <w:noWrap w:val="0"/>
                  <w:vAlign w:val="center"/>
                </w:tcPr>
                <w:p>
                  <w:pPr>
                    <w:pStyle w:val="32"/>
                    <w:bidi w:val="0"/>
                    <w:rPr>
                      <w:rFonts w:hint="eastAsia"/>
                      <w:color w:val="auto"/>
                      <w:lang w:val="en-US" w:eastAsia="zh-CN"/>
                    </w:rPr>
                  </w:pPr>
                  <w:r>
                    <w:rPr>
                      <w:rFonts w:hint="eastAsia"/>
                      <w:color w:val="auto"/>
                      <w:lang w:val="en-US" w:eastAsia="zh-CN"/>
                    </w:rPr>
                    <w:t>台</w:t>
                  </w:r>
                </w:p>
              </w:tc>
              <w:tc>
                <w:tcPr>
                  <w:tcW w:w="751" w:type="dxa"/>
                  <w:noWrap w:val="0"/>
                  <w:vAlign w:val="center"/>
                </w:tcPr>
                <w:p>
                  <w:pPr>
                    <w:pStyle w:val="32"/>
                    <w:bidi w:val="0"/>
                    <w:rPr>
                      <w:rFonts w:hint="default"/>
                      <w:color w:val="auto"/>
                      <w:lang w:val="en-US" w:eastAsia="zh-CN"/>
                    </w:rPr>
                  </w:pPr>
                  <w:r>
                    <w:rPr>
                      <w:rFonts w:hint="eastAsia"/>
                      <w:color w:val="auto"/>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noWrap w:val="0"/>
                  <w:vAlign w:val="center"/>
                </w:tcPr>
                <w:p>
                  <w:pPr>
                    <w:pStyle w:val="32"/>
                    <w:bidi w:val="0"/>
                    <w:rPr>
                      <w:rFonts w:hint="eastAsia"/>
                      <w:color w:val="auto"/>
                      <w:lang w:val="en-US" w:eastAsia="zh-CN"/>
                    </w:rPr>
                  </w:pPr>
                  <w:r>
                    <w:rPr>
                      <w:rFonts w:hint="eastAsia"/>
                      <w:color w:val="auto"/>
                      <w:lang w:val="en-US" w:eastAsia="zh-CN"/>
                    </w:rPr>
                    <w:t>10</w:t>
                  </w:r>
                </w:p>
              </w:tc>
              <w:tc>
                <w:tcPr>
                  <w:tcW w:w="1875" w:type="dxa"/>
                  <w:noWrap w:val="0"/>
                  <w:vAlign w:val="center"/>
                </w:tcPr>
                <w:p>
                  <w:pPr>
                    <w:pStyle w:val="32"/>
                    <w:bidi w:val="0"/>
                    <w:rPr>
                      <w:rFonts w:hint="default"/>
                      <w:color w:val="auto"/>
                      <w:lang w:val="en-US" w:eastAsia="zh-CN"/>
                    </w:rPr>
                  </w:pPr>
                  <w:r>
                    <w:rPr>
                      <w:rFonts w:hint="eastAsia"/>
                      <w:color w:val="auto"/>
                      <w:lang w:val="en-US" w:eastAsia="zh-CN"/>
                    </w:rPr>
                    <w:t>整线链接包装机</w:t>
                  </w:r>
                </w:p>
              </w:tc>
              <w:tc>
                <w:tcPr>
                  <w:tcW w:w="3631" w:type="dxa"/>
                  <w:noWrap w:val="0"/>
                  <w:vAlign w:val="center"/>
                </w:tcPr>
                <w:p>
                  <w:pPr>
                    <w:pStyle w:val="32"/>
                    <w:bidi w:val="0"/>
                    <w:rPr>
                      <w:rFonts w:hint="default"/>
                      <w:color w:val="auto"/>
                      <w:lang w:val="en-US" w:eastAsia="zh-CN"/>
                    </w:rPr>
                  </w:pPr>
                  <w:r>
                    <w:rPr>
                      <w:rFonts w:hint="eastAsia"/>
                      <w:color w:val="auto"/>
                      <w:lang w:val="en-US" w:eastAsia="zh-CN"/>
                    </w:rPr>
                    <w:t>定制</w:t>
                  </w:r>
                </w:p>
              </w:tc>
              <w:tc>
                <w:tcPr>
                  <w:tcW w:w="915" w:type="dxa"/>
                  <w:noWrap w:val="0"/>
                  <w:vAlign w:val="center"/>
                </w:tcPr>
                <w:p>
                  <w:pPr>
                    <w:pStyle w:val="32"/>
                    <w:bidi w:val="0"/>
                    <w:rPr>
                      <w:rFonts w:hint="default"/>
                      <w:color w:val="auto"/>
                      <w:lang w:val="en-US" w:eastAsia="zh-CN"/>
                    </w:rPr>
                  </w:pPr>
                  <w:r>
                    <w:rPr>
                      <w:rFonts w:hint="eastAsia"/>
                      <w:color w:val="auto"/>
                      <w:lang w:val="en-US" w:eastAsia="zh-CN"/>
                    </w:rPr>
                    <w:t>套</w:t>
                  </w:r>
                </w:p>
              </w:tc>
              <w:tc>
                <w:tcPr>
                  <w:tcW w:w="751" w:type="dxa"/>
                  <w:noWrap w:val="0"/>
                  <w:vAlign w:val="center"/>
                </w:tcPr>
                <w:p>
                  <w:pPr>
                    <w:pStyle w:val="32"/>
                    <w:bidi w:val="0"/>
                    <w:rPr>
                      <w:rFonts w:hint="default"/>
                      <w:color w:val="auto"/>
                      <w:lang w:val="en-US" w:eastAsia="zh-CN"/>
                    </w:rPr>
                  </w:pPr>
                  <w:r>
                    <w:rPr>
                      <w:rFonts w:hint="eastAsia"/>
                      <w:color w:val="auto"/>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noWrap w:val="0"/>
                  <w:vAlign w:val="center"/>
                </w:tcPr>
                <w:p>
                  <w:pPr>
                    <w:pStyle w:val="32"/>
                    <w:bidi w:val="0"/>
                    <w:rPr>
                      <w:rFonts w:hint="eastAsia"/>
                      <w:color w:val="auto"/>
                      <w:lang w:val="en-US" w:eastAsia="zh-CN"/>
                    </w:rPr>
                  </w:pPr>
                  <w:r>
                    <w:rPr>
                      <w:rFonts w:hint="eastAsia"/>
                      <w:color w:val="auto"/>
                      <w:lang w:val="en-US" w:eastAsia="zh-CN"/>
                    </w:rPr>
                    <w:t>11</w:t>
                  </w:r>
                </w:p>
              </w:tc>
              <w:tc>
                <w:tcPr>
                  <w:tcW w:w="1875" w:type="dxa"/>
                  <w:noWrap w:val="0"/>
                  <w:vAlign w:val="center"/>
                </w:tcPr>
                <w:p>
                  <w:pPr>
                    <w:pStyle w:val="32"/>
                    <w:bidi w:val="0"/>
                    <w:rPr>
                      <w:rFonts w:hint="eastAsia"/>
                      <w:color w:val="auto"/>
                      <w:lang w:val="en-US" w:eastAsia="zh-CN"/>
                    </w:rPr>
                  </w:pPr>
                  <w:r>
                    <w:rPr>
                      <w:rFonts w:hint="eastAsia"/>
                      <w:color w:val="auto"/>
                      <w:lang w:val="en-US" w:eastAsia="zh-CN"/>
                    </w:rPr>
                    <w:t>纯水净化设备</w:t>
                  </w:r>
                </w:p>
              </w:tc>
              <w:tc>
                <w:tcPr>
                  <w:tcW w:w="3631" w:type="dxa"/>
                  <w:noWrap w:val="0"/>
                  <w:vAlign w:val="center"/>
                </w:tcPr>
                <w:p>
                  <w:pPr>
                    <w:pStyle w:val="32"/>
                    <w:bidi w:val="0"/>
                    <w:rPr>
                      <w:rFonts w:hint="eastAsia"/>
                      <w:color w:val="auto"/>
                      <w:lang w:val="en-US" w:eastAsia="zh-CN"/>
                    </w:rPr>
                  </w:pPr>
                  <w:r>
                    <w:rPr>
                      <w:rFonts w:hint="eastAsia"/>
                      <w:color w:val="auto"/>
                      <w:lang w:val="en-US" w:eastAsia="zh-CN"/>
                    </w:rPr>
                    <w:t>10t/h</w:t>
                  </w:r>
                </w:p>
              </w:tc>
              <w:tc>
                <w:tcPr>
                  <w:tcW w:w="915" w:type="dxa"/>
                  <w:noWrap w:val="0"/>
                  <w:vAlign w:val="center"/>
                </w:tcPr>
                <w:p>
                  <w:pPr>
                    <w:pStyle w:val="32"/>
                    <w:bidi w:val="0"/>
                    <w:rPr>
                      <w:rFonts w:hint="eastAsia"/>
                      <w:color w:val="auto"/>
                      <w:lang w:val="en-US" w:eastAsia="zh-CN"/>
                    </w:rPr>
                  </w:pPr>
                  <w:r>
                    <w:rPr>
                      <w:rFonts w:hint="eastAsia"/>
                      <w:color w:val="auto"/>
                      <w:lang w:val="en-US" w:eastAsia="zh-CN"/>
                    </w:rPr>
                    <w:t>套</w:t>
                  </w:r>
                </w:p>
              </w:tc>
              <w:tc>
                <w:tcPr>
                  <w:tcW w:w="751" w:type="dxa"/>
                  <w:noWrap w:val="0"/>
                  <w:vAlign w:val="center"/>
                </w:tcPr>
                <w:p>
                  <w:pPr>
                    <w:pStyle w:val="32"/>
                    <w:bidi w:val="0"/>
                    <w:rPr>
                      <w:rFonts w:hint="eastAsia"/>
                      <w:color w:val="auto"/>
                      <w:lang w:val="en-US" w:eastAsia="zh-CN"/>
                    </w:rPr>
                  </w:pPr>
                  <w:r>
                    <w:rPr>
                      <w:rFonts w:hint="eastAsia"/>
                      <w:color w:val="auto"/>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vAlign w:val="center"/>
                </w:tcPr>
                <w:p>
                  <w:pPr>
                    <w:pStyle w:val="32"/>
                    <w:bidi w:val="0"/>
                    <w:rPr>
                      <w:rFonts w:hint="default"/>
                      <w:color w:val="auto"/>
                      <w:lang w:val="en-US" w:eastAsia="zh-CN"/>
                    </w:rPr>
                  </w:pPr>
                  <w:r>
                    <w:rPr>
                      <w:rFonts w:hint="eastAsia"/>
                      <w:color w:val="auto"/>
                      <w:lang w:val="en-US" w:eastAsia="zh-CN"/>
                    </w:rPr>
                    <w:t>12</w:t>
                  </w:r>
                </w:p>
              </w:tc>
              <w:tc>
                <w:tcPr>
                  <w:tcW w:w="1875" w:type="dxa"/>
                  <w:vAlign w:val="center"/>
                </w:tcPr>
                <w:p>
                  <w:pPr>
                    <w:pStyle w:val="32"/>
                    <w:bidi w:val="0"/>
                    <w:rPr>
                      <w:rFonts w:hint="eastAsia"/>
                      <w:color w:val="auto"/>
                      <w:lang w:val="en-US" w:eastAsia="zh-CN"/>
                    </w:rPr>
                  </w:pPr>
                  <w:r>
                    <w:rPr>
                      <w:rFonts w:hint="eastAsia"/>
                      <w:color w:val="auto"/>
                      <w:lang w:val="en-US" w:eastAsia="zh-CN"/>
                    </w:rPr>
                    <w:t>蒸汽锅炉</w:t>
                  </w:r>
                </w:p>
              </w:tc>
              <w:tc>
                <w:tcPr>
                  <w:tcW w:w="3631" w:type="dxa"/>
                  <w:vAlign w:val="center"/>
                </w:tcPr>
                <w:p>
                  <w:pPr>
                    <w:pStyle w:val="32"/>
                    <w:bidi w:val="0"/>
                    <w:rPr>
                      <w:rFonts w:hint="default"/>
                      <w:color w:val="auto"/>
                      <w:lang w:val="en-US" w:eastAsia="zh-CN"/>
                    </w:rPr>
                  </w:pPr>
                  <w:r>
                    <w:rPr>
                      <w:rFonts w:hint="eastAsia"/>
                      <w:color w:val="auto"/>
                      <w:lang w:val="en-US" w:eastAsia="zh-CN"/>
                    </w:rPr>
                    <w:t>3t/h，热效率94.8%</w:t>
                  </w:r>
                </w:p>
              </w:tc>
              <w:tc>
                <w:tcPr>
                  <w:tcW w:w="915" w:type="dxa"/>
                  <w:vAlign w:val="center"/>
                </w:tcPr>
                <w:p>
                  <w:pPr>
                    <w:pStyle w:val="32"/>
                    <w:bidi w:val="0"/>
                    <w:rPr>
                      <w:rFonts w:hint="default"/>
                      <w:color w:val="auto"/>
                      <w:lang w:val="en-US" w:eastAsia="zh-CN"/>
                    </w:rPr>
                  </w:pPr>
                  <w:r>
                    <w:rPr>
                      <w:rFonts w:hint="eastAsia"/>
                      <w:color w:val="auto"/>
                      <w:lang w:val="en-US" w:eastAsia="zh-CN"/>
                    </w:rPr>
                    <w:t>座</w:t>
                  </w:r>
                </w:p>
              </w:tc>
              <w:tc>
                <w:tcPr>
                  <w:tcW w:w="751" w:type="dxa"/>
                  <w:vAlign w:val="center"/>
                </w:tcPr>
                <w:p>
                  <w:pPr>
                    <w:pStyle w:val="32"/>
                    <w:bidi w:val="0"/>
                    <w:rPr>
                      <w:rFonts w:hint="default"/>
                      <w:color w:val="auto"/>
                      <w:lang w:val="en-US" w:eastAsia="zh-CN"/>
                    </w:rPr>
                  </w:pPr>
                  <w:r>
                    <w:rPr>
                      <w:rFonts w:hint="eastAsia"/>
                      <w:color w:val="auto"/>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vAlign w:val="center"/>
                </w:tcPr>
                <w:p>
                  <w:pPr>
                    <w:pStyle w:val="32"/>
                    <w:bidi w:val="0"/>
                    <w:rPr>
                      <w:rFonts w:hint="default"/>
                      <w:color w:val="auto"/>
                      <w:lang w:val="en-US" w:eastAsia="zh-CN"/>
                    </w:rPr>
                  </w:pPr>
                  <w:r>
                    <w:rPr>
                      <w:rFonts w:hint="eastAsia"/>
                      <w:color w:val="auto"/>
                      <w:lang w:val="en-US" w:eastAsia="zh-CN"/>
                    </w:rPr>
                    <w:t>13</w:t>
                  </w:r>
                </w:p>
              </w:tc>
              <w:tc>
                <w:tcPr>
                  <w:tcW w:w="1875" w:type="dxa"/>
                  <w:vAlign w:val="center"/>
                </w:tcPr>
                <w:p>
                  <w:pPr>
                    <w:pStyle w:val="32"/>
                    <w:bidi w:val="0"/>
                    <w:rPr>
                      <w:rFonts w:hint="eastAsia"/>
                      <w:color w:val="auto"/>
                      <w:lang w:val="en-US" w:eastAsia="zh-CN"/>
                    </w:rPr>
                  </w:pPr>
                  <w:r>
                    <w:rPr>
                      <w:rFonts w:hint="eastAsia"/>
                      <w:color w:val="auto"/>
                      <w:lang w:val="en-US" w:eastAsia="zh-CN"/>
                    </w:rPr>
                    <w:t>空气压缩机</w:t>
                  </w:r>
                </w:p>
              </w:tc>
              <w:tc>
                <w:tcPr>
                  <w:tcW w:w="3631" w:type="dxa"/>
                  <w:vAlign w:val="center"/>
                </w:tcPr>
                <w:p>
                  <w:pPr>
                    <w:pStyle w:val="32"/>
                    <w:bidi w:val="0"/>
                    <w:rPr>
                      <w:rFonts w:hint="eastAsia"/>
                      <w:color w:val="auto"/>
                      <w:lang w:val="en-US" w:eastAsia="zh-CN"/>
                    </w:rPr>
                  </w:pPr>
                  <w:r>
                    <w:rPr>
                      <w:rFonts w:hint="eastAsia"/>
                      <w:color w:val="auto"/>
                      <w:lang w:val="en-US" w:eastAsia="zh-CN"/>
                    </w:rPr>
                    <w:t>2t/h</w:t>
                  </w:r>
                </w:p>
              </w:tc>
              <w:tc>
                <w:tcPr>
                  <w:tcW w:w="915" w:type="dxa"/>
                  <w:vAlign w:val="center"/>
                </w:tcPr>
                <w:p>
                  <w:pPr>
                    <w:pStyle w:val="32"/>
                    <w:bidi w:val="0"/>
                    <w:rPr>
                      <w:rFonts w:hint="default"/>
                      <w:color w:val="auto"/>
                      <w:lang w:val="en-US" w:eastAsia="zh-CN"/>
                    </w:rPr>
                  </w:pPr>
                  <w:r>
                    <w:rPr>
                      <w:rFonts w:hint="eastAsia"/>
                      <w:color w:val="auto"/>
                      <w:lang w:val="en-US" w:eastAsia="zh-CN"/>
                    </w:rPr>
                    <w:t>台</w:t>
                  </w:r>
                </w:p>
              </w:tc>
              <w:tc>
                <w:tcPr>
                  <w:tcW w:w="751" w:type="dxa"/>
                  <w:vAlign w:val="center"/>
                </w:tcPr>
                <w:p>
                  <w:pPr>
                    <w:pStyle w:val="32"/>
                    <w:bidi w:val="0"/>
                    <w:rPr>
                      <w:rFonts w:hint="default"/>
                      <w:color w:val="auto"/>
                      <w:lang w:val="en-US" w:eastAsia="zh-CN"/>
                    </w:rPr>
                  </w:pPr>
                  <w:r>
                    <w:rPr>
                      <w:rFonts w:hint="eastAsia"/>
                      <w:color w:val="auto"/>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vAlign w:val="center"/>
                </w:tcPr>
                <w:p>
                  <w:pPr>
                    <w:pStyle w:val="32"/>
                    <w:bidi w:val="0"/>
                    <w:rPr>
                      <w:rFonts w:hint="default"/>
                      <w:color w:val="auto"/>
                      <w:lang w:val="en-US" w:eastAsia="zh-CN"/>
                    </w:rPr>
                  </w:pPr>
                  <w:r>
                    <w:rPr>
                      <w:rFonts w:hint="eastAsia"/>
                      <w:color w:val="auto"/>
                      <w:lang w:val="en-US" w:eastAsia="zh-CN"/>
                    </w:rPr>
                    <w:t>14</w:t>
                  </w:r>
                </w:p>
              </w:tc>
              <w:tc>
                <w:tcPr>
                  <w:tcW w:w="1875" w:type="dxa"/>
                  <w:vAlign w:val="center"/>
                </w:tcPr>
                <w:p>
                  <w:pPr>
                    <w:pStyle w:val="32"/>
                    <w:bidi w:val="0"/>
                    <w:rPr>
                      <w:rFonts w:hint="default"/>
                      <w:color w:val="auto"/>
                      <w:lang w:val="en-US" w:eastAsia="zh-CN"/>
                    </w:rPr>
                  </w:pPr>
                  <w:r>
                    <w:rPr>
                      <w:rFonts w:hint="eastAsia"/>
                      <w:color w:val="auto"/>
                      <w:lang w:val="en-US" w:eastAsia="zh-CN"/>
                    </w:rPr>
                    <w:t>锅炉循环泵</w:t>
                  </w:r>
                </w:p>
              </w:tc>
              <w:tc>
                <w:tcPr>
                  <w:tcW w:w="3631" w:type="dxa"/>
                  <w:vAlign w:val="center"/>
                </w:tcPr>
                <w:p>
                  <w:pPr>
                    <w:pStyle w:val="32"/>
                    <w:bidi w:val="0"/>
                    <w:rPr>
                      <w:rFonts w:hint="default"/>
                      <w:color w:val="auto"/>
                      <w:lang w:val="en-US" w:eastAsia="zh-CN"/>
                    </w:rPr>
                  </w:pPr>
                  <w:r>
                    <w:rPr>
                      <w:rFonts w:hint="eastAsia"/>
                      <w:color w:val="auto"/>
                      <w:lang w:val="en-US" w:eastAsia="zh-CN"/>
                    </w:rPr>
                    <w:t>/</w:t>
                  </w:r>
                </w:p>
              </w:tc>
              <w:tc>
                <w:tcPr>
                  <w:tcW w:w="915" w:type="dxa"/>
                  <w:vAlign w:val="center"/>
                </w:tcPr>
                <w:p>
                  <w:pPr>
                    <w:pStyle w:val="32"/>
                    <w:bidi w:val="0"/>
                    <w:rPr>
                      <w:rFonts w:hint="default"/>
                      <w:color w:val="auto"/>
                      <w:lang w:val="en-US" w:eastAsia="zh-CN"/>
                    </w:rPr>
                  </w:pPr>
                  <w:r>
                    <w:rPr>
                      <w:rFonts w:hint="eastAsia"/>
                      <w:color w:val="auto"/>
                      <w:lang w:val="en-US" w:eastAsia="zh-CN"/>
                    </w:rPr>
                    <w:t>台</w:t>
                  </w:r>
                </w:p>
              </w:tc>
              <w:tc>
                <w:tcPr>
                  <w:tcW w:w="751" w:type="dxa"/>
                  <w:vAlign w:val="center"/>
                </w:tcPr>
                <w:p>
                  <w:pPr>
                    <w:pStyle w:val="32"/>
                    <w:bidi w:val="0"/>
                    <w:rPr>
                      <w:rFonts w:hint="default"/>
                      <w:color w:val="auto"/>
                      <w:lang w:val="en-US" w:eastAsia="zh-CN"/>
                    </w:rPr>
                  </w:pPr>
                  <w:r>
                    <w:rPr>
                      <w:rFonts w:hint="eastAsia"/>
                      <w:color w:val="auto"/>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743" w:type="dxa"/>
                  <w:vAlign w:val="center"/>
                </w:tcPr>
                <w:p>
                  <w:pPr>
                    <w:pStyle w:val="32"/>
                    <w:bidi w:val="0"/>
                    <w:rPr>
                      <w:rFonts w:hint="default"/>
                      <w:color w:val="auto"/>
                      <w:lang w:val="en-US" w:eastAsia="zh-CN"/>
                    </w:rPr>
                  </w:pPr>
                  <w:r>
                    <w:rPr>
                      <w:rFonts w:hint="eastAsia"/>
                      <w:color w:val="auto"/>
                      <w:lang w:val="en-US" w:eastAsia="zh-CN"/>
                    </w:rPr>
                    <w:t>15</w:t>
                  </w:r>
                </w:p>
              </w:tc>
              <w:tc>
                <w:tcPr>
                  <w:tcW w:w="1875" w:type="dxa"/>
                  <w:vAlign w:val="center"/>
                </w:tcPr>
                <w:p>
                  <w:pPr>
                    <w:pStyle w:val="32"/>
                    <w:bidi w:val="0"/>
                    <w:rPr>
                      <w:rFonts w:hint="default"/>
                      <w:color w:val="auto"/>
                      <w:lang w:val="en-US" w:eastAsia="zh-CN"/>
                    </w:rPr>
                  </w:pPr>
                  <w:r>
                    <w:rPr>
                      <w:rFonts w:hint="eastAsia"/>
                      <w:color w:val="auto"/>
                      <w:lang w:val="en-US" w:eastAsia="zh-CN"/>
                    </w:rPr>
                    <w:t>锅炉给水泵</w:t>
                  </w:r>
                </w:p>
              </w:tc>
              <w:tc>
                <w:tcPr>
                  <w:tcW w:w="3631" w:type="dxa"/>
                  <w:vAlign w:val="center"/>
                </w:tcPr>
                <w:p>
                  <w:pPr>
                    <w:pStyle w:val="32"/>
                    <w:bidi w:val="0"/>
                    <w:rPr>
                      <w:rFonts w:hint="default"/>
                      <w:color w:val="auto"/>
                      <w:lang w:val="en-US" w:eastAsia="zh-CN"/>
                    </w:rPr>
                  </w:pPr>
                  <w:r>
                    <w:rPr>
                      <w:rFonts w:hint="eastAsia"/>
                      <w:color w:val="auto"/>
                      <w:lang w:val="en-US" w:eastAsia="zh-CN"/>
                    </w:rPr>
                    <w:t>/</w:t>
                  </w:r>
                </w:p>
              </w:tc>
              <w:tc>
                <w:tcPr>
                  <w:tcW w:w="915" w:type="dxa"/>
                  <w:vAlign w:val="center"/>
                </w:tcPr>
                <w:p>
                  <w:pPr>
                    <w:pStyle w:val="32"/>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c>
                <w:tcPr>
                  <w:tcW w:w="751" w:type="dxa"/>
                  <w:vAlign w:val="center"/>
                </w:tcPr>
                <w:p>
                  <w:pPr>
                    <w:pStyle w:val="32"/>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vAlign w:val="center"/>
                </w:tcPr>
                <w:p>
                  <w:pPr>
                    <w:pStyle w:val="32"/>
                    <w:bidi w:val="0"/>
                    <w:rPr>
                      <w:rFonts w:hint="default"/>
                      <w:color w:val="auto"/>
                      <w:lang w:val="en-US" w:eastAsia="zh-CN"/>
                    </w:rPr>
                  </w:pPr>
                  <w:r>
                    <w:rPr>
                      <w:rFonts w:hint="eastAsia"/>
                      <w:color w:val="auto"/>
                      <w:lang w:val="en-US" w:eastAsia="zh-CN"/>
                    </w:rPr>
                    <w:t>16</w:t>
                  </w:r>
                </w:p>
              </w:tc>
              <w:tc>
                <w:tcPr>
                  <w:tcW w:w="1875" w:type="dxa"/>
                  <w:vAlign w:val="center"/>
                </w:tcPr>
                <w:p>
                  <w:pPr>
                    <w:pStyle w:val="32"/>
                    <w:bidi w:val="0"/>
                    <w:rPr>
                      <w:rFonts w:hint="default"/>
                      <w:color w:val="auto"/>
                      <w:lang w:val="en-US" w:eastAsia="zh-CN"/>
                    </w:rPr>
                  </w:pPr>
                  <w:r>
                    <w:rPr>
                      <w:rFonts w:hint="eastAsia"/>
                      <w:color w:val="auto"/>
                      <w:lang w:val="en-US" w:eastAsia="zh-CN"/>
                    </w:rPr>
                    <w:t>酸度计</w:t>
                  </w:r>
                </w:p>
              </w:tc>
              <w:tc>
                <w:tcPr>
                  <w:tcW w:w="3631" w:type="dxa"/>
                  <w:vAlign w:val="center"/>
                </w:tcPr>
                <w:p>
                  <w:pPr>
                    <w:pStyle w:val="32"/>
                    <w:bidi w:val="0"/>
                    <w:rPr>
                      <w:rFonts w:hint="default"/>
                      <w:color w:val="auto"/>
                      <w:lang w:val="en-US" w:eastAsia="zh-CN"/>
                    </w:rPr>
                  </w:pPr>
                  <w:r>
                    <w:rPr>
                      <w:rFonts w:hint="eastAsia"/>
                      <w:color w:val="auto"/>
                      <w:lang w:val="en-US" w:eastAsia="zh-CN"/>
                    </w:rPr>
                    <w:t>/</w:t>
                  </w:r>
                </w:p>
              </w:tc>
              <w:tc>
                <w:tcPr>
                  <w:tcW w:w="915" w:type="dxa"/>
                  <w:vAlign w:val="center"/>
                </w:tcPr>
                <w:p>
                  <w:pPr>
                    <w:pStyle w:val="32"/>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c>
                <w:tcPr>
                  <w:tcW w:w="751" w:type="dxa"/>
                  <w:vAlign w:val="center"/>
                </w:tcPr>
                <w:p>
                  <w:pPr>
                    <w:pStyle w:val="32"/>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43" w:type="dxa"/>
                  <w:vAlign w:val="center"/>
                </w:tcPr>
                <w:p>
                  <w:pPr>
                    <w:pStyle w:val="32"/>
                    <w:bidi w:val="0"/>
                    <w:rPr>
                      <w:rFonts w:hint="default"/>
                      <w:color w:val="auto"/>
                      <w:lang w:val="en-US" w:eastAsia="zh-CN"/>
                    </w:rPr>
                  </w:pPr>
                  <w:r>
                    <w:rPr>
                      <w:rFonts w:hint="eastAsia"/>
                      <w:color w:val="auto"/>
                      <w:lang w:val="en-US" w:eastAsia="zh-CN"/>
                    </w:rPr>
                    <w:t>17</w:t>
                  </w:r>
                </w:p>
              </w:tc>
              <w:tc>
                <w:tcPr>
                  <w:tcW w:w="1875" w:type="dxa"/>
                  <w:vAlign w:val="center"/>
                </w:tcPr>
                <w:p>
                  <w:pPr>
                    <w:pStyle w:val="32"/>
                    <w:bidi w:val="0"/>
                    <w:rPr>
                      <w:rFonts w:hint="default"/>
                      <w:color w:val="auto"/>
                      <w:lang w:val="en-US" w:eastAsia="zh-CN"/>
                    </w:rPr>
                  </w:pPr>
                  <w:r>
                    <w:rPr>
                      <w:rFonts w:hint="eastAsia"/>
                      <w:color w:val="auto"/>
                      <w:lang w:val="en-US" w:eastAsia="zh-CN"/>
                    </w:rPr>
                    <w:t>压滤机</w:t>
                  </w:r>
                </w:p>
              </w:tc>
              <w:tc>
                <w:tcPr>
                  <w:tcW w:w="3631" w:type="dxa"/>
                  <w:vAlign w:val="center"/>
                </w:tcPr>
                <w:p>
                  <w:pPr>
                    <w:pStyle w:val="32"/>
                    <w:bidi w:val="0"/>
                    <w:rPr>
                      <w:rFonts w:hint="default"/>
                      <w:color w:val="auto"/>
                      <w:lang w:val="en-US" w:eastAsia="zh-CN"/>
                    </w:rPr>
                  </w:pPr>
                  <w:r>
                    <w:rPr>
                      <w:rFonts w:hint="eastAsia"/>
                      <w:color w:val="auto"/>
                      <w:lang w:val="en-US" w:eastAsia="zh-CN"/>
                    </w:rPr>
                    <w:t>/</w:t>
                  </w:r>
                </w:p>
              </w:tc>
              <w:tc>
                <w:tcPr>
                  <w:tcW w:w="915" w:type="dxa"/>
                  <w:vAlign w:val="center"/>
                </w:tcPr>
                <w:p>
                  <w:pPr>
                    <w:pStyle w:val="32"/>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c>
                <w:tcPr>
                  <w:tcW w:w="751" w:type="dxa"/>
                  <w:vAlign w:val="center"/>
                </w:tcPr>
                <w:p>
                  <w:pPr>
                    <w:pStyle w:val="32"/>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bl>
          <w:p>
            <w:pPr>
              <w:spacing w:before="20" w:line="360" w:lineRule="auto"/>
              <w:ind w:firstLine="480" w:firstLineChars="200"/>
              <w:rPr>
                <w:color w:val="auto"/>
                <w:highlight w:val="none"/>
              </w:rPr>
            </w:pPr>
            <w:r>
              <w:rPr>
                <w:color w:val="auto"/>
                <w:highlight w:val="none"/>
              </w:rPr>
              <w:t>4、项目产品方案</w:t>
            </w:r>
          </w:p>
          <w:p>
            <w:pPr>
              <w:spacing w:before="20" w:line="360" w:lineRule="auto"/>
              <w:ind w:firstLine="480" w:firstLineChars="200"/>
              <w:rPr>
                <w:color w:val="auto"/>
                <w:highlight w:val="none"/>
              </w:rPr>
            </w:pPr>
            <w:r>
              <w:rPr>
                <w:color w:val="auto"/>
                <w:highlight w:val="none"/>
              </w:rPr>
              <w:t>本项目建设</w:t>
            </w:r>
            <w:r>
              <w:rPr>
                <w:rFonts w:hint="default"/>
                <w:color w:val="auto"/>
                <w:highlight w:val="none"/>
                <w:lang w:val="en-US" w:eastAsia="zh-CN"/>
              </w:rPr>
              <w:t>浆水生产线</w:t>
            </w:r>
            <w:r>
              <w:rPr>
                <w:rFonts w:hint="eastAsia"/>
                <w:color w:val="auto"/>
                <w:highlight w:val="none"/>
                <w:lang w:val="en-US" w:eastAsia="zh-CN"/>
              </w:rPr>
              <w:t>9条</w:t>
            </w:r>
            <w:r>
              <w:rPr>
                <w:rFonts w:hint="default"/>
                <w:color w:val="auto"/>
                <w:highlight w:val="none"/>
                <w:lang w:val="en-US" w:eastAsia="zh-CN"/>
              </w:rPr>
              <w:t>，</w:t>
            </w:r>
            <w:r>
              <w:rPr>
                <w:rFonts w:hint="eastAsia"/>
                <w:color w:val="auto"/>
                <w:highlight w:val="none"/>
                <w:lang w:val="en-US" w:eastAsia="zh-CN"/>
              </w:rPr>
              <w:t>酸菜</w:t>
            </w:r>
            <w:r>
              <w:rPr>
                <w:rFonts w:hint="default"/>
                <w:color w:val="auto"/>
                <w:highlight w:val="none"/>
                <w:lang w:val="en-US" w:eastAsia="zh-CN"/>
              </w:rPr>
              <w:t>生产线</w:t>
            </w:r>
            <w:r>
              <w:rPr>
                <w:rFonts w:hint="eastAsia"/>
                <w:color w:val="auto"/>
                <w:highlight w:val="none"/>
                <w:lang w:val="en-US" w:eastAsia="zh-CN"/>
              </w:rPr>
              <w:t>3</w:t>
            </w:r>
            <w:r>
              <w:rPr>
                <w:rFonts w:hint="default"/>
                <w:color w:val="auto"/>
                <w:highlight w:val="none"/>
                <w:lang w:val="en-US" w:eastAsia="zh-CN"/>
              </w:rPr>
              <w:t>条</w:t>
            </w:r>
            <w:r>
              <w:rPr>
                <w:rFonts w:hint="eastAsia"/>
                <w:color w:val="auto"/>
                <w:highlight w:val="none"/>
                <w:lang w:val="en-US" w:eastAsia="zh-CN"/>
              </w:rPr>
              <w:t>，</w:t>
            </w:r>
            <w:r>
              <w:rPr>
                <w:rFonts w:hint="eastAsia"/>
                <w:color w:val="auto"/>
                <w:highlight w:val="none"/>
              </w:rPr>
              <w:t>建成后</w:t>
            </w:r>
            <w:r>
              <w:rPr>
                <w:color w:val="auto"/>
                <w:highlight w:val="none"/>
              </w:rPr>
              <w:t>产品及产量详见下表。</w:t>
            </w:r>
          </w:p>
          <w:p>
            <w:pPr>
              <w:spacing w:before="20" w:line="360" w:lineRule="auto"/>
              <w:jc w:val="center"/>
              <w:rPr>
                <w:b/>
                <w:bCs/>
                <w:color w:val="auto"/>
              </w:rPr>
            </w:pPr>
            <w:r>
              <w:rPr>
                <w:b/>
                <w:bCs/>
                <w:color w:val="auto"/>
              </w:rPr>
              <w:t>表2-</w:t>
            </w:r>
            <w:r>
              <w:rPr>
                <w:rFonts w:hint="eastAsia"/>
                <w:b/>
                <w:bCs/>
                <w:color w:val="auto"/>
              </w:rPr>
              <w:t>4</w:t>
            </w:r>
            <w:r>
              <w:rPr>
                <w:b/>
                <w:bCs/>
                <w:color w:val="auto"/>
              </w:rPr>
              <w:t xml:space="preserve">  项目主要产品及产量</w:t>
            </w:r>
          </w:p>
          <w:tbl>
            <w:tblPr>
              <w:tblStyle w:val="24"/>
              <w:tblW w:w="7945"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44"/>
              <w:gridCol w:w="1815"/>
              <w:gridCol w:w="3057"/>
              <w:gridCol w:w="953"/>
              <w:gridCol w:w="137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744" w:type="dxa"/>
                  <w:noWrap w:val="0"/>
                  <w:vAlign w:val="center"/>
                </w:tcPr>
                <w:p>
                  <w:pPr>
                    <w:pStyle w:val="32"/>
                    <w:bidi w:val="0"/>
                    <w:rPr>
                      <w:color w:val="auto"/>
                    </w:rPr>
                  </w:pPr>
                  <w:r>
                    <w:rPr>
                      <w:color w:val="auto"/>
                    </w:rPr>
                    <w:t>序号</w:t>
                  </w:r>
                </w:p>
              </w:tc>
              <w:tc>
                <w:tcPr>
                  <w:tcW w:w="1815" w:type="dxa"/>
                  <w:noWrap w:val="0"/>
                  <w:vAlign w:val="center"/>
                </w:tcPr>
                <w:p>
                  <w:pPr>
                    <w:pStyle w:val="32"/>
                    <w:bidi w:val="0"/>
                    <w:rPr>
                      <w:color w:val="auto"/>
                    </w:rPr>
                  </w:pPr>
                  <w:r>
                    <w:rPr>
                      <w:color w:val="auto"/>
                    </w:rPr>
                    <w:t>产品名称</w:t>
                  </w:r>
                </w:p>
              </w:tc>
              <w:tc>
                <w:tcPr>
                  <w:tcW w:w="3057" w:type="dxa"/>
                  <w:noWrap w:val="0"/>
                  <w:vAlign w:val="center"/>
                </w:tcPr>
                <w:p>
                  <w:pPr>
                    <w:pStyle w:val="32"/>
                    <w:bidi w:val="0"/>
                    <w:rPr>
                      <w:rFonts w:hint="eastAsia"/>
                      <w:color w:val="auto"/>
                      <w:lang w:val="en-US" w:eastAsia="zh-CN"/>
                    </w:rPr>
                  </w:pPr>
                  <w:r>
                    <w:rPr>
                      <w:rFonts w:hint="eastAsia"/>
                      <w:color w:val="auto"/>
                      <w:lang w:val="en-US" w:eastAsia="zh-CN"/>
                    </w:rPr>
                    <w:t>口味及规格</w:t>
                  </w:r>
                </w:p>
              </w:tc>
              <w:tc>
                <w:tcPr>
                  <w:tcW w:w="953" w:type="dxa"/>
                  <w:noWrap w:val="0"/>
                  <w:vAlign w:val="center"/>
                </w:tcPr>
                <w:p>
                  <w:pPr>
                    <w:pStyle w:val="32"/>
                    <w:bidi w:val="0"/>
                    <w:rPr>
                      <w:rFonts w:hint="default"/>
                      <w:color w:val="auto"/>
                      <w:lang w:val="en-US" w:eastAsia="zh-CN"/>
                    </w:rPr>
                  </w:pPr>
                  <w:r>
                    <w:rPr>
                      <w:rFonts w:hint="eastAsia"/>
                      <w:color w:val="auto"/>
                      <w:lang w:val="en-US" w:eastAsia="zh-CN"/>
                    </w:rPr>
                    <w:t>年产量/万袋</w:t>
                  </w:r>
                </w:p>
              </w:tc>
              <w:tc>
                <w:tcPr>
                  <w:tcW w:w="1376" w:type="dxa"/>
                  <w:noWrap w:val="0"/>
                  <w:vAlign w:val="center"/>
                </w:tcPr>
                <w:p>
                  <w:pPr>
                    <w:pStyle w:val="32"/>
                    <w:bidi w:val="0"/>
                    <w:rPr>
                      <w:rFonts w:hint="eastAsia"/>
                      <w:color w:val="auto"/>
                      <w:lang w:val="en-US" w:eastAsia="zh-CN"/>
                    </w:rPr>
                  </w:pPr>
                  <w:r>
                    <w:rPr>
                      <w:rFonts w:hint="eastAsia"/>
                      <w:color w:val="auto"/>
                      <w:lang w:val="en-US" w:eastAsia="zh-CN"/>
                    </w:rPr>
                    <w:t>年产量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744" w:type="dxa"/>
                  <w:noWrap w:val="0"/>
                  <w:vAlign w:val="center"/>
                </w:tcPr>
                <w:p>
                  <w:pPr>
                    <w:pStyle w:val="32"/>
                    <w:bidi w:val="0"/>
                    <w:rPr>
                      <w:rFonts w:hint="eastAsia"/>
                      <w:color w:val="auto"/>
                      <w:lang w:val="en-US" w:eastAsia="zh-CN"/>
                    </w:rPr>
                  </w:pPr>
                  <w:r>
                    <w:rPr>
                      <w:rFonts w:hint="eastAsia"/>
                      <w:color w:val="auto"/>
                      <w:lang w:val="en-US" w:eastAsia="zh-CN"/>
                    </w:rPr>
                    <w:t>1</w:t>
                  </w:r>
                </w:p>
              </w:tc>
              <w:tc>
                <w:tcPr>
                  <w:tcW w:w="1815" w:type="dxa"/>
                  <w:noWrap w:val="0"/>
                  <w:vAlign w:val="center"/>
                </w:tcPr>
                <w:p>
                  <w:pPr>
                    <w:pStyle w:val="32"/>
                    <w:bidi w:val="0"/>
                    <w:rPr>
                      <w:color w:val="auto"/>
                    </w:rPr>
                  </w:pPr>
                  <w:r>
                    <w:rPr>
                      <w:rFonts w:hint="default"/>
                      <w:color w:val="auto"/>
                      <w:lang w:val="en-US" w:eastAsia="zh-CN"/>
                    </w:rPr>
                    <w:t>芹菜</w:t>
                  </w:r>
                  <w:r>
                    <w:rPr>
                      <w:rFonts w:hint="eastAsia"/>
                      <w:color w:val="auto"/>
                      <w:lang w:val="en-US" w:eastAsia="zh-CN"/>
                    </w:rPr>
                    <w:t>袋装浆水</w:t>
                  </w:r>
                </w:p>
              </w:tc>
              <w:tc>
                <w:tcPr>
                  <w:tcW w:w="3057" w:type="dxa"/>
                  <w:noWrap w:val="0"/>
                  <w:vAlign w:val="center"/>
                </w:tcPr>
                <w:p>
                  <w:pPr>
                    <w:pStyle w:val="32"/>
                    <w:bidi w:val="0"/>
                    <w:rPr>
                      <w:rFonts w:hint="eastAsia"/>
                      <w:color w:val="auto"/>
                      <w:lang w:eastAsia="zh-CN"/>
                    </w:rPr>
                  </w:pPr>
                  <w:r>
                    <w:rPr>
                      <w:rFonts w:hint="eastAsia"/>
                      <w:color w:val="auto"/>
                      <w:lang w:val="en-US" w:eastAsia="zh-CN"/>
                    </w:rPr>
                    <w:t>600g塑料袋装及1kg塑料袋装</w:t>
                  </w:r>
                </w:p>
              </w:tc>
              <w:tc>
                <w:tcPr>
                  <w:tcW w:w="953" w:type="dxa"/>
                  <w:noWrap w:val="0"/>
                  <w:vAlign w:val="center"/>
                </w:tcPr>
                <w:p>
                  <w:pPr>
                    <w:pStyle w:val="32"/>
                    <w:bidi w:val="0"/>
                    <w:rPr>
                      <w:rFonts w:hint="default"/>
                      <w:color w:val="auto"/>
                      <w:lang w:val="en-US" w:eastAsia="zh-CN"/>
                    </w:rPr>
                  </w:pPr>
                  <w:r>
                    <w:rPr>
                      <w:rFonts w:hint="eastAsia" w:ascii="Times New Roman" w:eastAsia="宋体"/>
                      <w:color w:val="auto"/>
                      <w:lang w:val="en-US" w:eastAsia="zh-CN"/>
                    </w:rPr>
                    <w:t>357</w:t>
                  </w:r>
                </w:p>
              </w:tc>
              <w:tc>
                <w:tcPr>
                  <w:tcW w:w="1376" w:type="dxa"/>
                  <w:vMerge w:val="restart"/>
                  <w:noWrap w:val="0"/>
                  <w:vAlign w:val="center"/>
                </w:tcPr>
                <w:p>
                  <w:pPr>
                    <w:pStyle w:val="32"/>
                    <w:bidi w:val="0"/>
                    <w:rPr>
                      <w:color w:val="auto"/>
                    </w:rPr>
                  </w:pPr>
                  <w:r>
                    <w:rPr>
                      <w:rFonts w:hint="eastAsia"/>
                      <w:color w:val="auto"/>
                      <w:lang w:val="en-US" w:eastAsia="zh-CN"/>
                    </w:rPr>
                    <w:t>23205t/a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744" w:type="dxa"/>
                  <w:noWrap w:val="0"/>
                  <w:vAlign w:val="center"/>
                </w:tcPr>
                <w:p>
                  <w:pPr>
                    <w:pStyle w:val="32"/>
                    <w:bidi w:val="0"/>
                    <w:rPr>
                      <w:rFonts w:hint="eastAsia"/>
                      <w:color w:val="auto"/>
                      <w:lang w:val="en-US" w:eastAsia="zh-CN"/>
                    </w:rPr>
                  </w:pPr>
                  <w:r>
                    <w:rPr>
                      <w:rFonts w:hint="eastAsia"/>
                      <w:color w:val="auto"/>
                      <w:lang w:val="en-US" w:eastAsia="zh-CN"/>
                    </w:rPr>
                    <w:t>2</w:t>
                  </w:r>
                </w:p>
              </w:tc>
              <w:tc>
                <w:tcPr>
                  <w:tcW w:w="1815" w:type="dxa"/>
                  <w:noWrap w:val="0"/>
                  <w:vAlign w:val="center"/>
                </w:tcPr>
                <w:p>
                  <w:pPr>
                    <w:pStyle w:val="32"/>
                    <w:bidi w:val="0"/>
                    <w:rPr>
                      <w:color w:val="auto"/>
                    </w:rPr>
                  </w:pPr>
                  <w:r>
                    <w:rPr>
                      <w:rFonts w:hint="default"/>
                      <w:color w:val="auto"/>
                      <w:lang w:val="en-US" w:eastAsia="zh-CN"/>
                    </w:rPr>
                    <w:t>包心菜</w:t>
                  </w:r>
                  <w:r>
                    <w:rPr>
                      <w:rFonts w:hint="eastAsia"/>
                      <w:color w:val="auto"/>
                      <w:lang w:val="en-US" w:eastAsia="zh-CN"/>
                    </w:rPr>
                    <w:t>袋装浆水</w:t>
                  </w:r>
                </w:p>
              </w:tc>
              <w:tc>
                <w:tcPr>
                  <w:tcW w:w="3057" w:type="dxa"/>
                  <w:noWrap w:val="0"/>
                  <w:vAlign w:val="center"/>
                </w:tcPr>
                <w:p>
                  <w:pPr>
                    <w:pStyle w:val="32"/>
                    <w:bidi w:val="0"/>
                    <w:rPr>
                      <w:rFonts w:hint="default"/>
                      <w:color w:val="auto"/>
                      <w:lang w:val="en-US"/>
                    </w:rPr>
                  </w:pPr>
                  <w:r>
                    <w:rPr>
                      <w:rFonts w:hint="eastAsia"/>
                      <w:color w:val="auto"/>
                      <w:lang w:val="en-US" w:eastAsia="zh-CN"/>
                    </w:rPr>
                    <w:t>600</w:t>
                  </w:r>
                  <w:r>
                    <w:rPr>
                      <w:rFonts w:hint="eastAsia" w:ascii="Times New Roman" w:eastAsia="宋体"/>
                      <w:color w:val="auto"/>
                      <w:lang w:val="en-US" w:eastAsia="zh-CN"/>
                    </w:rPr>
                    <w:t>g</w:t>
                  </w:r>
                  <w:r>
                    <w:rPr>
                      <w:rFonts w:hint="eastAsia"/>
                      <w:color w:val="auto"/>
                      <w:lang w:val="en-US" w:eastAsia="zh-CN"/>
                    </w:rPr>
                    <w:t>塑料袋装及1kg塑料袋装</w:t>
                  </w:r>
                </w:p>
              </w:tc>
              <w:tc>
                <w:tcPr>
                  <w:tcW w:w="953" w:type="dxa"/>
                  <w:noWrap w:val="0"/>
                  <w:vAlign w:val="center"/>
                </w:tcPr>
                <w:p>
                  <w:pPr>
                    <w:pStyle w:val="32"/>
                    <w:bidi w:val="0"/>
                    <w:rPr>
                      <w:rFonts w:hint="eastAsia"/>
                      <w:color w:val="auto"/>
                      <w:lang w:val="en-US" w:eastAsia="zh-CN"/>
                    </w:rPr>
                  </w:pPr>
                  <w:r>
                    <w:rPr>
                      <w:rFonts w:hint="eastAsia" w:ascii="Times New Roman" w:eastAsia="宋体"/>
                      <w:color w:val="auto"/>
                      <w:lang w:val="en-US" w:eastAsia="zh-CN"/>
                    </w:rPr>
                    <w:t>357</w:t>
                  </w:r>
                </w:p>
              </w:tc>
              <w:tc>
                <w:tcPr>
                  <w:tcW w:w="1376" w:type="dxa"/>
                  <w:vMerge w:val="continue"/>
                  <w:noWrap w:val="0"/>
                  <w:vAlign w:val="center"/>
                </w:tcPr>
                <w:p>
                  <w:pPr>
                    <w:pStyle w:val="32"/>
                    <w:bidi w:val="0"/>
                    <w:rPr>
                      <w:color w:val="auto"/>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744" w:type="dxa"/>
                  <w:noWrap w:val="0"/>
                  <w:vAlign w:val="center"/>
                </w:tcPr>
                <w:p>
                  <w:pPr>
                    <w:pStyle w:val="32"/>
                    <w:bidi w:val="0"/>
                    <w:rPr>
                      <w:rFonts w:hint="eastAsia"/>
                      <w:color w:val="auto"/>
                      <w:lang w:val="en-US" w:eastAsia="zh-CN"/>
                    </w:rPr>
                  </w:pPr>
                  <w:r>
                    <w:rPr>
                      <w:rFonts w:hint="eastAsia"/>
                      <w:color w:val="auto"/>
                      <w:lang w:val="en-US" w:eastAsia="zh-CN"/>
                    </w:rPr>
                    <w:t>3</w:t>
                  </w:r>
                </w:p>
              </w:tc>
              <w:tc>
                <w:tcPr>
                  <w:tcW w:w="1815" w:type="dxa"/>
                  <w:noWrap w:val="0"/>
                  <w:vAlign w:val="center"/>
                </w:tcPr>
                <w:p>
                  <w:pPr>
                    <w:pStyle w:val="32"/>
                    <w:bidi w:val="0"/>
                    <w:rPr>
                      <w:color w:val="auto"/>
                    </w:rPr>
                  </w:pPr>
                  <w:r>
                    <w:rPr>
                      <w:rFonts w:hint="default"/>
                      <w:color w:val="auto"/>
                      <w:lang w:val="en-US" w:eastAsia="zh-CN"/>
                    </w:rPr>
                    <w:t>蒲公英</w:t>
                  </w:r>
                  <w:r>
                    <w:rPr>
                      <w:rFonts w:hint="eastAsia"/>
                      <w:color w:val="auto"/>
                      <w:lang w:val="en-US" w:eastAsia="zh-CN"/>
                    </w:rPr>
                    <w:t>袋装浆水</w:t>
                  </w:r>
                </w:p>
              </w:tc>
              <w:tc>
                <w:tcPr>
                  <w:tcW w:w="3057" w:type="dxa"/>
                  <w:noWrap w:val="0"/>
                  <w:vAlign w:val="center"/>
                </w:tcPr>
                <w:p>
                  <w:pPr>
                    <w:pStyle w:val="32"/>
                    <w:bidi w:val="0"/>
                    <w:rPr>
                      <w:color w:val="auto"/>
                    </w:rPr>
                  </w:pPr>
                  <w:r>
                    <w:rPr>
                      <w:rFonts w:hint="eastAsia"/>
                      <w:color w:val="auto"/>
                      <w:lang w:val="en-US" w:eastAsia="zh-CN"/>
                    </w:rPr>
                    <w:t>600</w:t>
                  </w:r>
                  <w:r>
                    <w:rPr>
                      <w:rFonts w:hint="eastAsia" w:ascii="Times New Roman" w:eastAsia="宋体"/>
                      <w:color w:val="auto"/>
                      <w:lang w:val="en-US" w:eastAsia="zh-CN"/>
                    </w:rPr>
                    <w:t>g</w:t>
                  </w:r>
                  <w:r>
                    <w:rPr>
                      <w:rFonts w:hint="eastAsia"/>
                      <w:color w:val="auto"/>
                      <w:lang w:val="en-US" w:eastAsia="zh-CN"/>
                    </w:rPr>
                    <w:t>塑料袋装及1kg塑料袋装</w:t>
                  </w:r>
                </w:p>
              </w:tc>
              <w:tc>
                <w:tcPr>
                  <w:tcW w:w="953" w:type="dxa"/>
                  <w:noWrap w:val="0"/>
                  <w:vAlign w:val="center"/>
                </w:tcPr>
                <w:p>
                  <w:pPr>
                    <w:pStyle w:val="32"/>
                    <w:bidi w:val="0"/>
                    <w:rPr>
                      <w:rFonts w:hint="eastAsia"/>
                      <w:color w:val="auto"/>
                      <w:lang w:val="en-US" w:eastAsia="zh-CN"/>
                    </w:rPr>
                  </w:pPr>
                  <w:r>
                    <w:rPr>
                      <w:rFonts w:hint="eastAsia" w:ascii="Times New Roman" w:eastAsia="宋体"/>
                      <w:color w:val="auto"/>
                      <w:lang w:val="en-US" w:eastAsia="zh-CN"/>
                    </w:rPr>
                    <w:t>357</w:t>
                  </w:r>
                </w:p>
              </w:tc>
              <w:tc>
                <w:tcPr>
                  <w:tcW w:w="1376" w:type="dxa"/>
                  <w:vMerge w:val="continue"/>
                  <w:noWrap w:val="0"/>
                  <w:vAlign w:val="center"/>
                </w:tcPr>
                <w:p>
                  <w:pPr>
                    <w:pStyle w:val="32"/>
                    <w:bidi w:val="0"/>
                    <w:rPr>
                      <w:color w:val="auto"/>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744" w:type="dxa"/>
                  <w:noWrap w:val="0"/>
                  <w:vAlign w:val="center"/>
                </w:tcPr>
                <w:p>
                  <w:pPr>
                    <w:pStyle w:val="32"/>
                    <w:bidi w:val="0"/>
                    <w:rPr>
                      <w:rFonts w:hint="eastAsia"/>
                      <w:color w:val="auto"/>
                      <w:lang w:val="en-US" w:eastAsia="zh-CN"/>
                    </w:rPr>
                  </w:pPr>
                  <w:r>
                    <w:rPr>
                      <w:rFonts w:hint="eastAsia"/>
                      <w:color w:val="auto"/>
                      <w:lang w:val="en-US" w:eastAsia="zh-CN"/>
                    </w:rPr>
                    <w:t>4</w:t>
                  </w:r>
                </w:p>
              </w:tc>
              <w:tc>
                <w:tcPr>
                  <w:tcW w:w="1815" w:type="dxa"/>
                  <w:noWrap w:val="0"/>
                  <w:vAlign w:val="center"/>
                </w:tcPr>
                <w:p>
                  <w:pPr>
                    <w:pStyle w:val="32"/>
                    <w:bidi w:val="0"/>
                    <w:rPr>
                      <w:color w:val="auto"/>
                    </w:rPr>
                  </w:pPr>
                  <w:r>
                    <w:rPr>
                      <w:rFonts w:hint="default"/>
                      <w:color w:val="auto"/>
                      <w:lang w:val="en-US" w:eastAsia="zh-CN"/>
                    </w:rPr>
                    <w:t>曲曲菜</w:t>
                  </w:r>
                  <w:r>
                    <w:rPr>
                      <w:rFonts w:hint="eastAsia"/>
                      <w:color w:val="auto"/>
                      <w:lang w:val="en-US" w:eastAsia="zh-CN"/>
                    </w:rPr>
                    <w:t>袋装浆水</w:t>
                  </w:r>
                </w:p>
              </w:tc>
              <w:tc>
                <w:tcPr>
                  <w:tcW w:w="3057" w:type="dxa"/>
                  <w:noWrap w:val="0"/>
                  <w:vAlign w:val="center"/>
                </w:tcPr>
                <w:p>
                  <w:pPr>
                    <w:pStyle w:val="32"/>
                    <w:bidi w:val="0"/>
                    <w:rPr>
                      <w:color w:val="auto"/>
                    </w:rPr>
                  </w:pPr>
                  <w:r>
                    <w:rPr>
                      <w:rFonts w:hint="eastAsia"/>
                      <w:color w:val="auto"/>
                      <w:lang w:val="en-US" w:eastAsia="zh-CN"/>
                    </w:rPr>
                    <w:t>600</w:t>
                  </w:r>
                  <w:r>
                    <w:rPr>
                      <w:rFonts w:hint="eastAsia" w:ascii="Times New Roman" w:eastAsia="宋体"/>
                      <w:color w:val="auto"/>
                      <w:lang w:val="en-US" w:eastAsia="zh-CN"/>
                    </w:rPr>
                    <w:t>g</w:t>
                  </w:r>
                  <w:r>
                    <w:rPr>
                      <w:rFonts w:hint="eastAsia"/>
                      <w:color w:val="auto"/>
                      <w:lang w:val="en-US" w:eastAsia="zh-CN"/>
                    </w:rPr>
                    <w:t>塑料袋装及1kg塑料袋装</w:t>
                  </w:r>
                </w:p>
              </w:tc>
              <w:tc>
                <w:tcPr>
                  <w:tcW w:w="953" w:type="dxa"/>
                  <w:noWrap w:val="0"/>
                  <w:vAlign w:val="center"/>
                </w:tcPr>
                <w:p>
                  <w:pPr>
                    <w:pStyle w:val="32"/>
                    <w:bidi w:val="0"/>
                    <w:rPr>
                      <w:rFonts w:hint="eastAsia"/>
                      <w:color w:val="auto"/>
                      <w:lang w:val="en-US" w:eastAsia="zh-CN"/>
                    </w:rPr>
                  </w:pPr>
                  <w:r>
                    <w:rPr>
                      <w:rFonts w:hint="eastAsia" w:ascii="Times New Roman" w:eastAsia="宋体"/>
                      <w:color w:val="auto"/>
                      <w:lang w:val="en-US" w:eastAsia="zh-CN"/>
                    </w:rPr>
                    <w:t>357</w:t>
                  </w:r>
                </w:p>
              </w:tc>
              <w:tc>
                <w:tcPr>
                  <w:tcW w:w="1376" w:type="dxa"/>
                  <w:vMerge w:val="continue"/>
                  <w:noWrap w:val="0"/>
                  <w:vAlign w:val="center"/>
                </w:tcPr>
                <w:p>
                  <w:pPr>
                    <w:pStyle w:val="32"/>
                    <w:bidi w:val="0"/>
                    <w:rPr>
                      <w:color w:val="auto"/>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744" w:type="dxa"/>
                  <w:noWrap w:val="0"/>
                  <w:vAlign w:val="center"/>
                </w:tcPr>
                <w:p>
                  <w:pPr>
                    <w:pStyle w:val="32"/>
                    <w:bidi w:val="0"/>
                    <w:rPr>
                      <w:rFonts w:hint="eastAsia"/>
                      <w:color w:val="auto"/>
                      <w:lang w:val="en-US" w:eastAsia="zh-CN"/>
                    </w:rPr>
                  </w:pPr>
                  <w:r>
                    <w:rPr>
                      <w:rFonts w:hint="eastAsia"/>
                      <w:color w:val="auto"/>
                      <w:lang w:val="en-US" w:eastAsia="zh-CN"/>
                    </w:rPr>
                    <w:t>5</w:t>
                  </w:r>
                </w:p>
              </w:tc>
              <w:tc>
                <w:tcPr>
                  <w:tcW w:w="1815" w:type="dxa"/>
                  <w:noWrap w:val="0"/>
                  <w:vAlign w:val="center"/>
                </w:tcPr>
                <w:p>
                  <w:pPr>
                    <w:pStyle w:val="32"/>
                    <w:bidi w:val="0"/>
                    <w:rPr>
                      <w:color w:val="auto"/>
                    </w:rPr>
                  </w:pPr>
                  <w:r>
                    <w:rPr>
                      <w:rFonts w:hint="default"/>
                      <w:color w:val="auto"/>
                      <w:lang w:val="en-US" w:eastAsia="zh-CN"/>
                    </w:rPr>
                    <w:t>苦</w:t>
                  </w:r>
                  <w:r>
                    <w:rPr>
                      <w:rFonts w:hint="eastAsia"/>
                      <w:color w:val="auto"/>
                      <w:lang w:val="en-US" w:eastAsia="zh-CN"/>
                    </w:rPr>
                    <w:t>菊袋装浆水</w:t>
                  </w:r>
                </w:p>
              </w:tc>
              <w:tc>
                <w:tcPr>
                  <w:tcW w:w="3057" w:type="dxa"/>
                  <w:noWrap w:val="0"/>
                  <w:vAlign w:val="center"/>
                </w:tcPr>
                <w:p>
                  <w:pPr>
                    <w:pStyle w:val="32"/>
                    <w:bidi w:val="0"/>
                    <w:rPr>
                      <w:color w:val="auto"/>
                    </w:rPr>
                  </w:pPr>
                  <w:r>
                    <w:rPr>
                      <w:rFonts w:hint="eastAsia"/>
                      <w:color w:val="auto"/>
                      <w:lang w:val="en-US" w:eastAsia="zh-CN"/>
                    </w:rPr>
                    <w:t>600</w:t>
                  </w:r>
                  <w:r>
                    <w:rPr>
                      <w:rFonts w:hint="eastAsia" w:ascii="Times New Roman" w:eastAsia="宋体"/>
                      <w:color w:val="auto"/>
                      <w:lang w:val="en-US" w:eastAsia="zh-CN"/>
                    </w:rPr>
                    <w:t>g</w:t>
                  </w:r>
                  <w:r>
                    <w:rPr>
                      <w:rFonts w:hint="eastAsia"/>
                      <w:color w:val="auto"/>
                      <w:lang w:val="en-US" w:eastAsia="zh-CN"/>
                    </w:rPr>
                    <w:t>l塑料袋装及1kg塑料袋装</w:t>
                  </w:r>
                </w:p>
              </w:tc>
              <w:tc>
                <w:tcPr>
                  <w:tcW w:w="953" w:type="dxa"/>
                  <w:noWrap w:val="0"/>
                  <w:vAlign w:val="center"/>
                </w:tcPr>
                <w:p>
                  <w:pPr>
                    <w:pStyle w:val="32"/>
                    <w:bidi w:val="0"/>
                    <w:rPr>
                      <w:rFonts w:hint="eastAsia"/>
                      <w:color w:val="auto"/>
                      <w:lang w:val="en-US" w:eastAsia="zh-CN"/>
                    </w:rPr>
                  </w:pPr>
                  <w:r>
                    <w:rPr>
                      <w:rFonts w:hint="eastAsia" w:ascii="Times New Roman" w:eastAsia="宋体"/>
                      <w:color w:val="auto"/>
                      <w:lang w:val="en-US" w:eastAsia="zh-CN"/>
                    </w:rPr>
                    <w:t>357</w:t>
                  </w:r>
                </w:p>
              </w:tc>
              <w:tc>
                <w:tcPr>
                  <w:tcW w:w="1376" w:type="dxa"/>
                  <w:vMerge w:val="continue"/>
                  <w:noWrap w:val="0"/>
                  <w:vAlign w:val="center"/>
                </w:tcPr>
                <w:p>
                  <w:pPr>
                    <w:pStyle w:val="32"/>
                    <w:bidi w:val="0"/>
                    <w:rPr>
                      <w:color w:val="auto"/>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744" w:type="dxa"/>
                  <w:noWrap w:val="0"/>
                  <w:vAlign w:val="center"/>
                </w:tcPr>
                <w:p>
                  <w:pPr>
                    <w:pStyle w:val="32"/>
                    <w:bidi w:val="0"/>
                    <w:rPr>
                      <w:rFonts w:hint="eastAsia"/>
                      <w:color w:val="auto"/>
                      <w:lang w:val="en-US" w:eastAsia="zh-CN"/>
                    </w:rPr>
                  </w:pPr>
                  <w:r>
                    <w:rPr>
                      <w:rFonts w:hint="eastAsia"/>
                      <w:color w:val="auto"/>
                      <w:lang w:val="en-US" w:eastAsia="zh-CN"/>
                    </w:rPr>
                    <w:t>6</w:t>
                  </w:r>
                </w:p>
              </w:tc>
              <w:tc>
                <w:tcPr>
                  <w:tcW w:w="1815" w:type="dxa"/>
                  <w:noWrap w:val="0"/>
                  <w:vAlign w:val="center"/>
                </w:tcPr>
                <w:p>
                  <w:pPr>
                    <w:pStyle w:val="32"/>
                    <w:bidi w:val="0"/>
                    <w:rPr>
                      <w:rFonts w:hint="default"/>
                      <w:color w:val="auto"/>
                      <w:lang w:val="en-US" w:eastAsia="zh-CN"/>
                    </w:rPr>
                  </w:pPr>
                  <w:r>
                    <w:rPr>
                      <w:rFonts w:hint="eastAsia"/>
                      <w:color w:val="auto"/>
                      <w:lang w:val="en-US" w:eastAsia="zh-CN"/>
                    </w:rPr>
                    <w:t>风味酸菜</w:t>
                  </w:r>
                </w:p>
              </w:tc>
              <w:tc>
                <w:tcPr>
                  <w:tcW w:w="3057" w:type="dxa"/>
                  <w:noWrap w:val="0"/>
                  <w:vAlign w:val="center"/>
                </w:tcPr>
                <w:p>
                  <w:pPr>
                    <w:pStyle w:val="32"/>
                    <w:bidi w:val="0"/>
                    <w:rPr>
                      <w:rFonts w:hint="eastAsia"/>
                      <w:color w:val="auto"/>
                      <w:lang w:val="en-US" w:eastAsia="zh-CN"/>
                    </w:rPr>
                  </w:pPr>
                  <w:r>
                    <w:rPr>
                      <w:rFonts w:hint="eastAsia"/>
                      <w:color w:val="auto"/>
                      <w:lang w:val="en-US" w:eastAsia="zh-CN"/>
                    </w:rPr>
                    <w:t>70g塑料袋真空包装（五香、麻辣、仔姜、泡椒等口味）</w:t>
                  </w:r>
                </w:p>
              </w:tc>
              <w:tc>
                <w:tcPr>
                  <w:tcW w:w="953" w:type="dxa"/>
                  <w:noWrap w:val="0"/>
                  <w:vAlign w:val="center"/>
                </w:tcPr>
                <w:p>
                  <w:pPr>
                    <w:pStyle w:val="32"/>
                    <w:bidi w:val="0"/>
                    <w:rPr>
                      <w:rFonts w:hint="default"/>
                      <w:color w:val="auto"/>
                      <w:lang w:val="en-US" w:eastAsia="zh-CN"/>
                    </w:rPr>
                  </w:pPr>
                  <w:r>
                    <w:rPr>
                      <w:rFonts w:hint="eastAsia"/>
                      <w:color w:val="auto"/>
                      <w:lang w:val="en-US" w:eastAsia="zh-CN"/>
                    </w:rPr>
                    <w:t>12750</w:t>
                  </w:r>
                </w:p>
              </w:tc>
              <w:tc>
                <w:tcPr>
                  <w:tcW w:w="1376" w:type="dxa"/>
                  <w:noWrap w:val="0"/>
                  <w:vAlign w:val="center"/>
                </w:tcPr>
                <w:p>
                  <w:pPr>
                    <w:pStyle w:val="32"/>
                    <w:bidi w:val="0"/>
                    <w:rPr>
                      <w:rFonts w:hint="default"/>
                      <w:color w:val="auto"/>
                      <w:lang w:val="en-US"/>
                    </w:rPr>
                  </w:pPr>
                  <w:r>
                    <w:rPr>
                      <w:rFonts w:hint="eastAsia"/>
                      <w:color w:val="auto"/>
                      <w:lang w:val="en-US" w:eastAsia="zh-CN"/>
                    </w:rPr>
                    <w:t>8925t/a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744" w:type="dxa"/>
                </w:tcPr>
                <w:p>
                  <w:pPr>
                    <w:pStyle w:val="32"/>
                    <w:bidi w:val="0"/>
                    <w:rPr>
                      <w:rFonts w:hint="eastAsia"/>
                      <w:color w:val="auto"/>
                      <w:lang w:val="en-US" w:eastAsia="zh-CN"/>
                    </w:rPr>
                  </w:pPr>
                  <w:r>
                    <w:rPr>
                      <w:rFonts w:hint="eastAsia"/>
                      <w:color w:val="auto"/>
                      <w:lang w:val="en-US" w:eastAsia="zh-CN"/>
                    </w:rPr>
                    <w:t>7</w:t>
                  </w:r>
                </w:p>
              </w:tc>
              <w:tc>
                <w:tcPr>
                  <w:tcW w:w="1815" w:type="dxa"/>
                  <w:vAlign w:val="center"/>
                </w:tcPr>
                <w:p>
                  <w:pPr>
                    <w:pStyle w:val="32"/>
                    <w:bidi w:val="0"/>
                    <w:rPr>
                      <w:rFonts w:hint="default"/>
                      <w:color w:val="auto"/>
                      <w:lang w:val="en-US" w:eastAsia="zh-CN"/>
                    </w:rPr>
                  </w:pPr>
                  <w:r>
                    <w:rPr>
                      <w:rFonts w:hint="eastAsia"/>
                      <w:color w:val="auto"/>
                      <w:lang w:val="en-US" w:eastAsia="zh-CN"/>
                    </w:rPr>
                    <w:t>浆水面酸菜包</w:t>
                  </w:r>
                </w:p>
              </w:tc>
              <w:tc>
                <w:tcPr>
                  <w:tcW w:w="3057" w:type="dxa"/>
                  <w:vAlign w:val="center"/>
                </w:tcPr>
                <w:p>
                  <w:pPr>
                    <w:pStyle w:val="32"/>
                    <w:bidi w:val="0"/>
                    <w:rPr>
                      <w:rFonts w:hint="default"/>
                      <w:color w:val="auto"/>
                      <w:lang w:val="en-US" w:eastAsia="zh-CN"/>
                    </w:rPr>
                  </w:pPr>
                  <w:r>
                    <w:rPr>
                      <w:rFonts w:hint="eastAsia"/>
                      <w:color w:val="auto"/>
                      <w:lang w:val="en-US" w:eastAsia="zh-CN"/>
                    </w:rPr>
                    <w:t>塑料袋真空包装45g</w:t>
                  </w:r>
                </w:p>
              </w:tc>
              <w:tc>
                <w:tcPr>
                  <w:tcW w:w="953" w:type="dxa"/>
                  <w:vAlign w:val="center"/>
                </w:tcPr>
                <w:p>
                  <w:pPr>
                    <w:pStyle w:val="32"/>
                    <w:bidi w:val="0"/>
                    <w:rPr>
                      <w:rFonts w:hint="default"/>
                      <w:color w:val="auto"/>
                      <w:lang w:val="en-US" w:eastAsia="zh-CN"/>
                    </w:rPr>
                  </w:pPr>
                  <w:r>
                    <w:rPr>
                      <w:rFonts w:hint="eastAsia"/>
                      <w:color w:val="auto"/>
                      <w:lang w:val="en-US" w:eastAsia="zh-CN"/>
                    </w:rPr>
                    <w:t>1071.2</w:t>
                  </w:r>
                </w:p>
              </w:tc>
              <w:tc>
                <w:tcPr>
                  <w:tcW w:w="1376" w:type="dxa"/>
                  <w:vAlign w:val="center"/>
                </w:tcPr>
                <w:p>
                  <w:pPr>
                    <w:pStyle w:val="32"/>
                    <w:bidi w:val="0"/>
                    <w:rPr>
                      <w:rFonts w:hint="default"/>
                      <w:color w:val="auto"/>
                      <w:lang w:val="en-US" w:eastAsia="zh-CN"/>
                    </w:rPr>
                  </w:pPr>
                  <w:r>
                    <w:rPr>
                      <w:rFonts w:hint="eastAsia"/>
                      <w:color w:val="auto"/>
                      <w:lang w:val="en-US" w:eastAsia="zh-CN"/>
                    </w:rPr>
                    <w:t>482.02t/a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744" w:type="dxa"/>
                </w:tcPr>
                <w:p>
                  <w:pPr>
                    <w:pStyle w:val="32"/>
                    <w:bidi w:val="0"/>
                    <w:rPr>
                      <w:rFonts w:hint="eastAsia"/>
                      <w:color w:val="auto"/>
                      <w:lang w:val="en-US" w:eastAsia="zh-CN"/>
                    </w:rPr>
                  </w:pPr>
                  <w:r>
                    <w:rPr>
                      <w:rFonts w:hint="eastAsia"/>
                      <w:color w:val="auto"/>
                      <w:lang w:val="en-US" w:eastAsia="zh-CN"/>
                    </w:rPr>
                    <w:t>8</w:t>
                  </w:r>
                </w:p>
              </w:tc>
              <w:tc>
                <w:tcPr>
                  <w:tcW w:w="1815" w:type="dxa"/>
                  <w:vAlign w:val="center"/>
                </w:tcPr>
                <w:p>
                  <w:pPr>
                    <w:pStyle w:val="32"/>
                    <w:bidi w:val="0"/>
                    <w:rPr>
                      <w:rFonts w:hint="default"/>
                      <w:color w:val="auto"/>
                      <w:lang w:val="en-US" w:eastAsia="zh-CN"/>
                    </w:rPr>
                  </w:pPr>
                  <w:r>
                    <w:rPr>
                      <w:rFonts w:hint="eastAsia"/>
                      <w:color w:val="auto"/>
                      <w:lang w:val="en-US" w:eastAsia="zh-CN"/>
                    </w:rPr>
                    <w:t>浆水米线酸菜包</w:t>
                  </w:r>
                </w:p>
              </w:tc>
              <w:tc>
                <w:tcPr>
                  <w:tcW w:w="3057" w:type="dxa"/>
                  <w:vAlign w:val="center"/>
                </w:tcPr>
                <w:p>
                  <w:pPr>
                    <w:pStyle w:val="32"/>
                    <w:bidi w:val="0"/>
                    <w:rPr>
                      <w:rFonts w:hint="eastAsia"/>
                      <w:color w:val="auto"/>
                      <w:lang w:val="en-US" w:eastAsia="zh-CN"/>
                    </w:rPr>
                  </w:pPr>
                  <w:r>
                    <w:rPr>
                      <w:rFonts w:hint="eastAsia"/>
                      <w:color w:val="auto"/>
                      <w:lang w:val="en-US" w:eastAsia="zh-CN"/>
                    </w:rPr>
                    <w:t>塑料袋真空包装45g</w:t>
                  </w:r>
                </w:p>
              </w:tc>
              <w:tc>
                <w:tcPr>
                  <w:tcW w:w="953" w:type="dxa"/>
                  <w:vAlign w:val="center"/>
                </w:tcPr>
                <w:p>
                  <w:pPr>
                    <w:pStyle w:val="32"/>
                    <w:bidi w:val="0"/>
                    <w:rPr>
                      <w:rFonts w:hint="default"/>
                      <w:color w:val="auto"/>
                      <w:lang w:val="en-US" w:eastAsia="zh-CN"/>
                    </w:rPr>
                  </w:pPr>
                  <w:r>
                    <w:rPr>
                      <w:rFonts w:hint="eastAsia"/>
                      <w:color w:val="auto"/>
                      <w:lang w:val="en-US" w:eastAsia="zh-CN"/>
                    </w:rPr>
                    <w:t>535.6</w:t>
                  </w:r>
                </w:p>
              </w:tc>
              <w:tc>
                <w:tcPr>
                  <w:tcW w:w="1376" w:type="dxa"/>
                  <w:vAlign w:val="center"/>
                </w:tcPr>
                <w:p>
                  <w:pPr>
                    <w:pStyle w:val="32"/>
                    <w:bidi w:val="0"/>
                    <w:rPr>
                      <w:rFonts w:hint="default"/>
                      <w:color w:val="auto"/>
                      <w:lang w:val="en-US" w:eastAsia="zh-CN"/>
                    </w:rPr>
                  </w:pPr>
                  <w:r>
                    <w:rPr>
                      <w:rFonts w:hint="eastAsia"/>
                      <w:color w:val="auto"/>
                      <w:lang w:val="en-US" w:eastAsia="zh-CN"/>
                    </w:rPr>
                    <w:t>241.02t/a</w:t>
                  </w:r>
                </w:p>
              </w:tc>
            </w:tr>
          </w:tbl>
          <w:p>
            <w:pPr>
              <w:spacing w:before="20"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lang w:val="en-US" w:eastAsia="zh-CN"/>
              </w:rPr>
              <w:t>由于浆水无国家及地方政府制定的标准，</w:t>
            </w:r>
            <w:r>
              <w:rPr>
                <w:rFonts w:hint="eastAsia" w:cs="Times New Roman"/>
                <w:color w:val="auto"/>
                <w:lang w:val="en-US" w:eastAsia="zh-CN"/>
              </w:rPr>
              <w:t>本次评价参照</w:t>
            </w:r>
            <w:r>
              <w:rPr>
                <w:rFonts w:hint="default" w:ascii="Times New Roman" w:hAnsi="Times New Roman" w:eastAsia="宋体" w:cs="Times New Roman"/>
                <w:color w:val="auto"/>
                <w:sz w:val="24"/>
                <w:szCs w:val="24"/>
              </w:rPr>
              <w:t>甘肃陇浆源农业科技有限公司企业标准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浆水酸菜</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Q/GLJY0001S—2024</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详见下表</w:t>
            </w:r>
            <w:r>
              <w:rPr>
                <w:rFonts w:hint="default" w:ascii="Times New Roman" w:hAnsi="Times New Roman" w:eastAsia="宋体" w:cs="Times New Roman"/>
                <w:color w:val="auto"/>
                <w:sz w:val="24"/>
                <w:szCs w:val="24"/>
                <w:lang w:val="en-US" w:eastAsia="zh-CN"/>
              </w:rPr>
              <w:t>。</w:t>
            </w:r>
          </w:p>
          <w:p>
            <w:pPr>
              <w:pStyle w:val="7"/>
              <w:ind w:left="0" w:leftChars="0" w:firstLine="0" w:firstLineChars="0"/>
              <w:jc w:val="center"/>
              <w:rPr>
                <w:rFonts w:hint="default"/>
                <w:color w:val="auto"/>
                <w:lang w:val="en-US" w:eastAsia="zh-CN"/>
              </w:rPr>
            </w:pPr>
            <w:r>
              <w:rPr>
                <w:rFonts w:hint="eastAsia" w:cs="Times New Roman"/>
                <w:color w:val="auto"/>
                <w:sz w:val="24"/>
                <w:szCs w:val="24"/>
                <w:lang w:val="en-US" w:eastAsia="zh-CN"/>
              </w:rPr>
              <w:t xml:space="preserve">表2-5  </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浆水酸菜</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Q/GLJY0001S—2024</w:t>
            </w:r>
            <w:r>
              <w:rPr>
                <w:rFonts w:hint="default" w:ascii="Times New Roman" w:hAnsi="Times New Roman" w:eastAsia="宋体" w:cs="Times New Roman"/>
                <w:color w:val="auto"/>
                <w:sz w:val="24"/>
                <w:szCs w:val="24"/>
                <w:lang w:eastAsia="zh-CN"/>
              </w:rPr>
              <w:t>）</w:t>
            </w:r>
          </w:p>
          <w:tbl>
            <w:tblPr>
              <w:tblStyle w:val="25"/>
              <w:tblW w:w="794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5"/>
              <w:gridCol w:w="981"/>
              <w:gridCol w:w="900"/>
              <w:gridCol w:w="855"/>
              <w:gridCol w:w="930"/>
              <w:gridCol w:w="20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45" w:type="dxa"/>
                  <w:gridSpan w:val="6"/>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感官要求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15" w:type="dxa"/>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w:t>
                  </w:r>
                </w:p>
              </w:tc>
              <w:tc>
                <w:tcPr>
                  <w:tcW w:w="3666" w:type="dxa"/>
                  <w:gridSpan w:val="4"/>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要求</w:t>
                  </w:r>
                </w:p>
              </w:tc>
              <w:tc>
                <w:tcPr>
                  <w:tcW w:w="2064" w:type="dxa"/>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检验方法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15" w:type="dxa"/>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色泽</w:t>
                  </w:r>
                </w:p>
              </w:tc>
              <w:tc>
                <w:tcPr>
                  <w:tcW w:w="3666" w:type="dxa"/>
                  <w:gridSpan w:val="4"/>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汁液呈透明或半透明液体，菜呈黄绿或深绿色</w:t>
                  </w:r>
                </w:p>
              </w:tc>
              <w:tc>
                <w:tcPr>
                  <w:tcW w:w="2064" w:type="dxa"/>
                  <w:vMerge w:val="restart"/>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取适量试样置于白色瓷盘中，于自然光下观察色泽、组织形态和杂质，闻其气味，用温开水漱口后品其滋味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15" w:type="dxa"/>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滋味和气味</w:t>
                  </w:r>
                </w:p>
              </w:tc>
              <w:tc>
                <w:tcPr>
                  <w:tcW w:w="3666" w:type="dxa"/>
                  <w:gridSpan w:val="4"/>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具有浆水特有的酸香气味，无异味，酸菜酸脆可口</w:t>
                  </w:r>
                </w:p>
              </w:tc>
              <w:tc>
                <w:tcPr>
                  <w:tcW w:w="2064" w:type="dxa"/>
                  <w:vMerge w:val="continue"/>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15" w:type="dxa"/>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组织形态</w:t>
                  </w:r>
                </w:p>
              </w:tc>
              <w:tc>
                <w:tcPr>
                  <w:tcW w:w="3666" w:type="dxa"/>
                  <w:gridSpan w:val="4"/>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汁液中含有不同数量的蔬菜、有少量沉淀，无悬浮白花膜，无正常视力可见外来异物</w:t>
                  </w:r>
                </w:p>
              </w:tc>
              <w:tc>
                <w:tcPr>
                  <w:tcW w:w="2064" w:type="dxa"/>
                  <w:vMerge w:val="continue"/>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45" w:type="dxa"/>
                  <w:gridSpan w:val="6"/>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vertAlign w:val="baseline"/>
                      <w:lang w:val="en-US" w:eastAsia="zh-CN"/>
                    </w:rPr>
                  </w:pPr>
                  <w:r>
                    <w:rPr>
                      <w:rFonts w:hint="eastAsia" w:ascii="Times New Roman" w:hAnsi="Times New Roman" w:eastAsia="宋体" w:cs="Times New Roman"/>
                      <w:color w:val="auto"/>
                      <w:sz w:val="21"/>
                      <w:szCs w:val="21"/>
                      <w:lang w:val="en-US" w:eastAsia="zh-CN"/>
                    </w:rPr>
                    <w:t>理化指标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215"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3666" w:type="dxa"/>
                  <w:gridSpan w:val="4"/>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指标</w:t>
                  </w:r>
                </w:p>
              </w:tc>
              <w:tc>
                <w:tcPr>
                  <w:tcW w:w="2064"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检验方法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215"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总酸（以乳酸计），g/100g≥</w:t>
                  </w:r>
                </w:p>
              </w:tc>
              <w:tc>
                <w:tcPr>
                  <w:tcW w:w="3666" w:type="dxa"/>
                  <w:gridSpan w:val="4"/>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2064"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GB12456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945" w:type="dxa"/>
                  <w:gridSpan w:val="6"/>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有害物质限量指标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215"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3666" w:type="dxa"/>
                  <w:gridSpan w:val="4"/>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指标</w:t>
                  </w:r>
                </w:p>
              </w:tc>
              <w:tc>
                <w:tcPr>
                  <w:tcW w:w="2064"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检验方法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215"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铅（以Pb计），mg/kg</w:t>
                  </w:r>
                  <w:r>
                    <w:rPr>
                      <w:rFonts w:hint="default" w:ascii="Times New Roman" w:hAnsi="Times New Roman" w:eastAsia="宋体" w:cs="Times New Roman"/>
                      <w:color w:val="auto"/>
                      <w:sz w:val="21"/>
                      <w:szCs w:val="21"/>
                      <w:lang w:val="en-US" w:eastAsia="zh-CN"/>
                    </w:rPr>
                    <w:t>≤</w:t>
                  </w:r>
                </w:p>
              </w:tc>
              <w:tc>
                <w:tcPr>
                  <w:tcW w:w="3666" w:type="dxa"/>
                  <w:gridSpan w:val="4"/>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w:t>
                  </w:r>
                </w:p>
              </w:tc>
              <w:tc>
                <w:tcPr>
                  <w:tcW w:w="2064"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GB5009.12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215"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亚硝酸盐（以NaNO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计）</w:t>
                  </w:r>
                  <w:r>
                    <w:rPr>
                      <w:rFonts w:hint="default" w:ascii="Times New Roman" w:hAnsi="Times New Roman" w:eastAsia="宋体" w:cs="Times New Roman"/>
                      <w:color w:val="auto"/>
                      <w:sz w:val="21"/>
                      <w:szCs w:val="21"/>
                    </w:rPr>
                    <w:t>，mg/kg</w:t>
                  </w:r>
                  <w:r>
                    <w:rPr>
                      <w:rFonts w:hint="default" w:ascii="Times New Roman" w:hAnsi="Times New Roman" w:eastAsia="宋体" w:cs="Times New Roman"/>
                      <w:color w:val="auto"/>
                      <w:sz w:val="21"/>
                      <w:szCs w:val="21"/>
                      <w:lang w:val="en-US" w:eastAsia="zh-CN"/>
                    </w:rPr>
                    <w:t>≤</w:t>
                  </w:r>
                </w:p>
              </w:tc>
              <w:tc>
                <w:tcPr>
                  <w:tcW w:w="3666" w:type="dxa"/>
                  <w:gridSpan w:val="4"/>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15.0</w:t>
                  </w:r>
                </w:p>
              </w:tc>
              <w:tc>
                <w:tcPr>
                  <w:tcW w:w="2064"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GB5009.</w:t>
                  </w:r>
                  <w:r>
                    <w:rPr>
                      <w:rFonts w:hint="default" w:ascii="Times New Roman" w:hAnsi="Times New Roman" w:eastAsia="宋体" w:cs="Times New Roman"/>
                      <w:color w:val="auto"/>
                      <w:sz w:val="21"/>
                      <w:szCs w:val="21"/>
                      <w:lang w:val="en-US" w:eastAsia="zh-CN"/>
                    </w:rPr>
                    <w:t>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945" w:type="dxa"/>
                  <w:gridSpan w:val="6"/>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微生物指标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215" w:type="dxa"/>
                  <w:vMerge w:val="restart"/>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3666" w:type="dxa"/>
                  <w:gridSpan w:val="4"/>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采样方案a及限量（若非指定，均以CFU/g表示）</w:t>
                  </w:r>
                </w:p>
              </w:tc>
              <w:tc>
                <w:tcPr>
                  <w:tcW w:w="2064" w:type="dxa"/>
                  <w:vMerge w:val="restart"/>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检验方法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215"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81"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t>
                  </w:r>
                </w:p>
              </w:tc>
              <w:tc>
                <w:tcPr>
                  <w:tcW w:w="900"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w:t>
                  </w:r>
                </w:p>
              </w:tc>
              <w:tc>
                <w:tcPr>
                  <w:tcW w:w="855"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w:t>
                  </w:r>
                </w:p>
              </w:tc>
              <w:tc>
                <w:tcPr>
                  <w:tcW w:w="930"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w:t>
                  </w:r>
                </w:p>
              </w:tc>
              <w:tc>
                <w:tcPr>
                  <w:tcW w:w="2064"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215"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大肠菌群</w:t>
                  </w:r>
                  <w:r>
                    <w:rPr>
                      <w:rFonts w:hint="default" w:ascii="Times New Roman" w:hAnsi="Times New Roman" w:eastAsia="宋体" w:cs="Times New Roman"/>
                      <w:color w:val="auto"/>
                      <w:sz w:val="21"/>
                      <w:szCs w:val="21"/>
                      <w:vertAlign w:val="superscript"/>
                      <w:lang w:val="en-US" w:eastAsia="zh-CN"/>
                    </w:rPr>
                    <w:t>b</w:t>
                  </w:r>
                </w:p>
              </w:tc>
              <w:tc>
                <w:tcPr>
                  <w:tcW w:w="981"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00"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855"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930"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w:t>
                  </w:r>
                </w:p>
              </w:tc>
              <w:tc>
                <w:tcPr>
                  <w:tcW w:w="2064"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GB4789.3第二法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215"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金黄色葡萄球菌</w:t>
                  </w:r>
                </w:p>
              </w:tc>
              <w:tc>
                <w:tcPr>
                  <w:tcW w:w="981"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00"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55"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930"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w:t>
                  </w:r>
                </w:p>
              </w:tc>
              <w:tc>
                <w:tcPr>
                  <w:tcW w:w="2064"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GB4789.10第二法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215"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沙门氏菌</w:t>
                  </w:r>
                </w:p>
              </w:tc>
              <w:tc>
                <w:tcPr>
                  <w:tcW w:w="981"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00"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55"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0/25g</w:t>
                  </w:r>
                </w:p>
              </w:tc>
              <w:tc>
                <w:tcPr>
                  <w:tcW w:w="930"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064"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GB4789.4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945" w:type="dxa"/>
                  <w:gridSpan w:val="6"/>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注：</w:t>
                  </w:r>
                  <w:r>
                    <w:rPr>
                      <w:rFonts w:hint="default" w:ascii="Times New Roman" w:hAnsi="Times New Roman" w:eastAsia="宋体" w:cs="Times New Roman"/>
                      <w:color w:val="auto"/>
                      <w:sz w:val="21"/>
                      <w:szCs w:val="21"/>
                    </w:rPr>
                    <w:t>a样品的分析和处理按GB4789.1执行。b仅检测灭菌型产品。</w:t>
                  </w:r>
                </w:p>
              </w:tc>
            </w:tr>
          </w:tbl>
          <w:p>
            <w:pPr>
              <w:spacing w:before="20" w:line="360" w:lineRule="auto"/>
              <w:ind w:firstLine="480" w:firstLineChars="200"/>
              <w:rPr>
                <w:color w:val="auto"/>
              </w:rPr>
            </w:pPr>
            <w:r>
              <w:rPr>
                <w:color w:val="auto"/>
              </w:rPr>
              <w:t>5、主要原辅材料消耗情况</w:t>
            </w:r>
          </w:p>
          <w:p>
            <w:pPr>
              <w:spacing w:before="20" w:line="360" w:lineRule="auto"/>
              <w:ind w:firstLine="480" w:firstLineChars="200"/>
              <w:rPr>
                <w:color w:val="auto"/>
              </w:rPr>
            </w:pPr>
            <w:r>
              <w:rPr>
                <w:color w:val="auto"/>
              </w:rPr>
              <w:t>项目原辅材料消耗情况见表2-</w:t>
            </w:r>
            <w:r>
              <w:rPr>
                <w:rFonts w:hint="eastAsia"/>
                <w:color w:val="auto"/>
                <w:lang w:val="en-US" w:eastAsia="zh-CN"/>
              </w:rPr>
              <w:t>6</w:t>
            </w:r>
            <w:r>
              <w:rPr>
                <w:color w:val="auto"/>
              </w:rPr>
              <w:t>所示。</w:t>
            </w:r>
          </w:p>
          <w:p>
            <w:pPr>
              <w:spacing w:before="20" w:line="360" w:lineRule="auto"/>
              <w:jc w:val="center"/>
              <w:rPr>
                <w:rFonts w:hint="default"/>
                <w:b/>
                <w:bCs/>
                <w:color w:val="auto"/>
                <w:lang w:val="en-US"/>
              </w:rPr>
            </w:pPr>
            <w:r>
              <w:rPr>
                <w:b/>
                <w:bCs/>
                <w:color w:val="auto"/>
              </w:rPr>
              <w:t>表2-</w:t>
            </w:r>
            <w:r>
              <w:rPr>
                <w:rFonts w:hint="eastAsia"/>
                <w:b/>
                <w:bCs/>
                <w:color w:val="auto"/>
                <w:lang w:val="en-US" w:eastAsia="zh-CN"/>
              </w:rPr>
              <w:t>6</w:t>
            </w:r>
            <w:r>
              <w:rPr>
                <w:b/>
                <w:bCs/>
                <w:color w:val="auto"/>
              </w:rPr>
              <w:t xml:space="preserve">  项目主要原辅材料消耗一览表</w:t>
            </w:r>
          </w:p>
          <w:tbl>
            <w:tblPr>
              <w:tblStyle w:val="24"/>
              <w:tblW w:w="794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182"/>
              <w:gridCol w:w="1639"/>
              <w:gridCol w:w="1455"/>
              <w:gridCol w:w="1380"/>
              <w:gridCol w:w="17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noWrap w:val="0"/>
                  <w:vAlign w:val="center"/>
                </w:tcPr>
                <w:p>
                  <w:pPr>
                    <w:pStyle w:val="32"/>
                    <w:bidi w:val="0"/>
                    <w:rPr>
                      <w:rFonts w:hint="default"/>
                      <w:color w:val="auto"/>
                    </w:rPr>
                  </w:pPr>
                  <w:r>
                    <w:rPr>
                      <w:rFonts w:hint="default"/>
                      <w:color w:val="auto"/>
                    </w:rPr>
                    <w:t>序号</w:t>
                  </w:r>
                </w:p>
              </w:tc>
              <w:tc>
                <w:tcPr>
                  <w:tcW w:w="1182" w:type="dxa"/>
                  <w:noWrap w:val="0"/>
                  <w:vAlign w:val="center"/>
                </w:tcPr>
                <w:p>
                  <w:pPr>
                    <w:pStyle w:val="32"/>
                    <w:bidi w:val="0"/>
                    <w:rPr>
                      <w:rFonts w:hint="default"/>
                      <w:color w:val="auto"/>
                    </w:rPr>
                  </w:pPr>
                  <w:r>
                    <w:rPr>
                      <w:rFonts w:hint="default"/>
                      <w:color w:val="auto"/>
                    </w:rPr>
                    <w:t>原辅材料名称</w:t>
                  </w:r>
                </w:p>
              </w:tc>
              <w:tc>
                <w:tcPr>
                  <w:tcW w:w="1639" w:type="dxa"/>
                  <w:noWrap w:val="0"/>
                  <w:vAlign w:val="center"/>
                </w:tcPr>
                <w:p>
                  <w:pPr>
                    <w:pStyle w:val="32"/>
                    <w:bidi w:val="0"/>
                    <w:rPr>
                      <w:rFonts w:hint="default"/>
                      <w:color w:val="auto"/>
                    </w:rPr>
                  </w:pPr>
                  <w:r>
                    <w:rPr>
                      <w:rFonts w:hint="default"/>
                      <w:color w:val="auto"/>
                    </w:rPr>
                    <w:t>年用量</w:t>
                  </w:r>
                </w:p>
              </w:tc>
              <w:tc>
                <w:tcPr>
                  <w:tcW w:w="1455" w:type="dxa"/>
                  <w:noWrap w:val="0"/>
                  <w:vAlign w:val="center"/>
                </w:tcPr>
                <w:p>
                  <w:pPr>
                    <w:pStyle w:val="32"/>
                    <w:bidi w:val="0"/>
                    <w:rPr>
                      <w:rFonts w:hint="default"/>
                      <w:color w:val="auto"/>
                    </w:rPr>
                  </w:pPr>
                  <w:r>
                    <w:rPr>
                      <w:rFonts w:hint="default"/>
                      <w:color w:val="auto"/>
                    </w:rPr>
                    <w:t>储存方式</w:t>
                  </w:r>
                </w:p>
              </w:tc>
              <w:tc>
                <w:tcPr>
                  <w:tcW w:w="1380" w:type="dxa"/>
                  <w:noWrap w:val="0"/>
                  <w:vAlign w:val="center"/>
                </w:tcPr>
                <w:p>
                  <w:pPr>
                    <w:pStyle w:val="32"/>
                    <w:bidi w:val="0"/>
                    <w:rPr>
                      <w:rFonts w:hint="default"/>
                      <w:color w:val="auto"/>
                    </w:rPr>
                  </w:pPr>
                  <w:r>
                    <w:rPr>
                      <w:rFonts w:hint="default"/>
                      <w:color w:val="auto"/>
                    </w:rPr>
                    <w:t>最大存量t/a</w:t>
                  </w:r>
                </w:p>
              </w:tc>
              <w:tc>
                <w:tcPr>
                  <w:tcW w:w="1787" w:type="dxa"/>
                  <w:noWrap w:val="0"/>
                  <w:vAlign w:val="center"/>
                </w:tcPr>
                <w:p>
                  <w:pPr>
                    <w:pStyle w:val="32"/>
                    <w:bidi w:val="0"/>
                    <w:rPr>
                      <w:rFonts w:hint="default"/>
                      <w:color w:val="auto"/>
                    </w:rPr>
                  </w:pPr>
                  <w:r>
                    <w:rPr>
                      <w:rFonts w:hint="default"/>
                      <w:color w:val="auto"/>
                    </w:rPr>
                    <w:t>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noWrap w:val="0"/>
                  <w:vAlign w:val="center"/>
                </w:tcPr>
                <w:p>
                  <w:pPr>
                    <w:pStyle w:val="32"/>
                    <w:bidi w:val="0"/>
                    <w:rPr>
                      <w:rFonts w:hint="default"/>
                      <w:color w:val="auto"/>
                    </w:rPr>
                  </w:pPr>
                  <w:r>
                    <w:rPr>
                      <w:rFonts w:hint="default"/>
                      <w:color w:val="auto"/>
                    </w:rPr>
                    <w:t>1</w:t>
                  </w:r>
                </w:p>
              </w:tc>
              <w:tc>
                <w:tcPr>
                  <w:tcW w:w="1182" w:type="dxa"/>
                  <w:noWrap w:val="0"/>
                  <w:vAlign w:val="center"/>
                </w:tcPr>
                <w:p>
                  <w:pPr>
                    <w:pStyle w:val="32"/>
                    <w:bidi w:val="0"/>
                    <w:rPr>
                      <w:rFonts w:hint="default"/>
                      <w:color w:val="auto"/>
                    </w:rPr>
                  </w:pPr>
                  <w:r>
                    <w:rPr>
                      <w:rFonts w:hint="default"/>
                      <w:color w:val="auto"/>
                      <w:lang w:val="en-US" w:eastAsia="zh-CN"/>
                    </w:rPr>
                    <w:t>芹菜</w:t>
                  </w:r>
                </w:p>
              </w:tc>
              <w:tc>
                <w:tcPr>
                  <w:tcW w:w="1639" w:type="dxa"/>
                  <w:noWrap w:val="0"/>
                  <w:vAlign w:val="center"/>
                </w:tcPr>
                <w:p>
                  <w:pPr>
                    <w:pStyle w:val="32"/>
                    <w:bidi w:val="0"/>
                    <w:rPr>
                      <w:rFonts w:hint="default"/>
                      <w:color w:val="auto"/>
                    </w:rPr>
                  </w:pPr>
                  <w:r>
                    <w:rPr>
                      <w:rFonts w:hint="default"/>
                      <w:color w:val="auto"/>
                      <w:lang w:val="en-US" w:eastAsia="zh-CN"/>
                    </w:rPr>
                    <w:t>1249.5</w:t>
                  </w:r>
                  <w:r>
                    <w:rPr>
                      <w:rFonts w:hint="default"/>
                      <w:color w:val="auto"/>
                    </w:rPr>
                    <w:t>t/a</w:t>
                  </w:r>
                </w:p>
              </w:tc>
              <w:tc>
                <w:tcPr>
                  <w:tcW w:w="1455" w:type="dxa"/>
                  <w:vMerge w:val="restart"/>
                  <w:noWrap w:val="0"/>
                  <w:vAlign w:val="center"/>
                </w:tcPr>
                <w:p>
                  <w:pPr>
                    <w:pStyle w:val="32"/>
                    <w:bidi w:val="0"/>
                    <w:rPr>
                      <w:rFonts w:hint="default"/>
                      <w:color w:val="auto"/>
                      <w:lang w:val="en-US"/>
                    </w:rPr>
                  </w:pPr>
                  <w:r>
                    <w:rPr>
                      <w:rFonts w:hint="default"/>
                      <w:color w:val="auto"/>
                      <w:lang w:val="en-US" w:eastAsia="zh-CN"/>
                    </w:rPr>
                    <w:t>低温库</w:t>
                  </w:r>
                  <w:r>
                    <w:rPr>
                      <w:rFonts w:hint="eastAsia"/>
                      <w:color w:val="auto"/>
                      <w:lang w:val="en-US" w:eastAsia="zh-CN"/>
                    </w:rPr>
                    <w:t>储存</w:t>
                  </w:r>
                </w:p>
              </w:tc>
              <w:tc>
                <w:tcPr>
                  <w:tcW w:w="1380" w:type="dxa"/>
                  <w:noWrap w:val="0"/>
                  <w:vAlign w:val="center"/>
                </w:tcPr>
                <w:p>
                  <w:pPr>
                    <w:pStyle w:val="32"/>
                    <w:bidi w:val="0"/>
                    <w:rPr>
                      <w:rFonts w:hint="default"/>
                      <w:color w:val="auto"/>
                      <w:lang w:val="en-US" w:eastAsia="zh-CN"/>
                    </w:rPr>
                  </w:pPr>
                  <w:r>
                    <w:rPr>
                      <w:rFonts w:hint="eastAsia"/>
                      <w:color w:val="auto"/>
                      <w:lang w:val="en-US" w:eastAsia="zh-CN"/>
                    </w:rPr>
                    <w:t>10.5</w:t>
                  </w:r>
                </w:p>
              </w:tc>
              <w:tc>
                <w:tcPr>
                  <w:tcW w:w="1787" w:type="dxa"/>
                  <w:vMerge w:val="restart"/>
                  <w:noWrap w:val="0"/>
                  <w:vAlign w:val="center"/>
                </w:tcPr>
                <w:p>
                  <w:pPr>
                    <w:pStyle w:val="32"/>
                    <w:bidi w:val="0"/>
                    <w:rPr>
                      <w:rFonts w:hint="default"/>
                      <w:color w:val="auto"/>
                    </w:rPr>
                  </w:pPr>
                  <w:r>
                    <w:rPr>
                      <w:rFonts w:hint="eastAsia"/>
                      <w:color w:val="auto"/>
                      <w:lang w:val="en-US" w:eastAsia="zh-CN"/>
                    </w:rPr>
                    <w:t>合作社签署种植收购协议，直接收购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noWrap w:val="0"/>
                  <w:vAlign w:val="center"/>
                </w:tcPr>
                <w:p>
                  <w:pPr>
                    <w:pStyle w:val="32"/>
                    <w:bidi w:val="0"/>
                    <w:rPr>
                      <w:rFonts w:hint="default"/>
                      <w:color w:val="auto"/>
                    </w:rPr>
                  </w:pPr>
                  <w:r>
                    <w:rPr>
                      <w:rFonts w:hint="default"/>
                      <w:color w:val="auto"/>
                    </w:rPr>
                    <w:t>2</w:t>
                  </w:r>
                </w:p>
              </w:tc>
              <w:tc>
                <w:tcPr>
                  <w:tcW w:w="1182" w:type="dxa"/>
                  <w:noWrap w:val="0"/>
                  <w:vAlign w:val="center"/>
                </w:tcPr>
                <w:p>
                  <w:pPr>
                    <w:pStyle w:val="32"/>
                    <w:bidi w:val="0"/>
                    <w:rPr>
                      <w:rFonts w:hint="default"/>
                      <w:color w:val="auto"/>
                    </w:rPr>
                  </w:pPr>
                  <w:r>
                    <w:rPr>
                      <w:rFonts w:hint="default"/>
                      <w:color w:val="auto"/>
                      <w:lang w:val="en-US" w:eastAsia="zh-CN"/>
                    </w:rPr>
                    <w:t>包心菜</w:t>
                  </w:r>
                </w:p>
              </w:tc>
              <w:tc>
                <w:tcPr>
                  <w:tcW w:w="1639" w:type="dxa"/>
                  <w:noWrap w:val="0"/>
                  <w:vAlign w:val="center"/>
                </w:tcPr>
                <w:p>
                  <w:pPr>
                    <w:pStyle w:val="32"/>
                    <w:bidi w:val="0"/>
                    <w:rPr>
                      <w:rFonts w:hint="default"/>
                      <w:color w:val="auto"/>
                    </w:rPr>
                  </w:pPr>
                  <w:r>
                    <w:rPr>
                      <w:rFonts w:hint="default"/>
                      <w:color w:val="auto"/>
                      <w:lang w:val="en-US" w:eastAsia="zh-CN"/>
                    </w:rPr>
                    <w:t>892.5</w:t>
                  </w:r>
                  <w:r>
                    <w:rPr>
                      <w:rFonts w:hint="default"/>
                      <w:color w:val="auto"/>
                    </w:rPr>
                    <w:t>t/a</w:t>
                  </w:r>
                </w:p>
              </w:tc>
              <w:tc>
                <w:tcPr>
                  <w:tcW w:w="1455" w:type="dxa"/>
                  <w:vMerge w:val="continue"/>
                  <w:noWrap w:val="0"/>
                  <w:vAlign w:val="center"/>
                </w:tcPr>
                <w:p>
                  <w:pPr>
                    <w:pStyle w:val="32"/>
                    <w:bidi w:val="0"/>
                    <w:rPr>
                      <w:rFonts w:hint="default"/>
                      <w:color w:val="auto"/>
                    </w:rPr>
                  </w:pPr>
                </w:p>
              </w:tc>
              <w:tc>
                <w:tcPr>
                  <w:tcW w:w="1380" w:type="dxa"/>
                  <w:noWrap w:val="0"/>
                  <w:vAlign w:val="center"/>
                </w:tcPr>
                <w:p>
                  <w:pPr>
                    <w:pStyle w:val="32"/>
                    <w:bidi w:val="0"/>
                    <w:rPr>
                      <w:rFonts w:hint="default"/>
                      <w:color w:val="auto"/>
                      <w:lang w:val="en-US" w:eastAsia="zh-CN"/>
                    </w:rPr>
                  </w:pPr>
                  <w:r>
                    <w:rPr>
                      <w:rFonts w:hint="eastAsia"/>
                      <w:color w:val="auto"/>
                      <w:lang w:val="en-US" w:eastAsia="zh-CN"/>
                    </w:rPr>
                    <w:t>7.5</w:t>
                  </w:r>
                </w:p>
              </w:tc>
              <w:tc>
                <w:tcPr>
                  <w:tcW w:w="1787" w:type="dxa"/>
                  <w:vMerge w:val="continue"/>
                  <w:noWrap w:val="0"/>
                  <w:vAlign w:val="center"/>
                </w:tcPr>
                <w:p>
                  <w:pPr>
                    <w:pStyle w:val="32"/>
                    <w:bidi w:val="0"/>
                    <w:rPr>
                      <w:rFonts w:hint="default"/>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noWrap w:val="0"/>
                  <w:vAlign w:val="center"/>
                </w:tcPr>
                <w:p>
                  <w:pPr>
                    <w:pStyle w:val="32"/>
                    <w:bidi w:val="0"/>
                    <w:rPr>
                      <w:rFonts w:hint="default"/>
                      <w:color w:val="auto"/>
                    </w:rPr>
                  </w:pPr>
                  <w:r>
                    <w:rPr>
                      <w:rFonts w:hint="default"/>
                      <w:color w:val="auto"/>
                    </w:rPr>
                    <w:t>3</w:t>
                  </w:r>
                </w:p>
              </w:tc>
              <w:tc>
                <w:tcPr>
                  <w:tcW w:w="1182" w:type="dxa"/>
                  <w:noWrap w:val="0"/>
                  <w:vAlign w:val="center"/>
                </w:tcPr>
                <w:p>
                  <w:pPr>
                    <w:pStyle w:val="32"/>
                    <w:bidi w:val="0"/>
                    <w:rPr>
                      <w:rFonts w:hint="default"/>
                      <w:color w:val="auto"/>
                    </w:rPr>
                  </w:pPr>
                  <w:r>
                    <w:rPr>
                      <w:rFonts w:hint="default"/>
                      <w:color w:val="auto"/>
                      <w:lang w:val="en-US" w:eastAsia="zh-CN"/>
                    </w:rPr>
                    <w:t>蒲公英</w:t>
                  </w:r>
                </w:p>
              </w:tc>
              <w:tc>
                <w:tcPr>
                  <w:tcW w:w="1639" w:type="dxa"/>
                  <w:noWrap w:val="0"/>
                  <w:vAlign w:val="center"/>
                </w:tcPr>
                <w:p>
                  <w:pPr>
                    <w:pStyle w:val="32"/>
                    <w:bidi w:val="0"/>
                    <w:rPr>
                      <w:rFonts w:hint="default"/>
                      <w:color w:val="auto"/>
                    </w:rPr>
                  </w:pPr>
                  <w:r>
                    <w:rPr>
                      <w:rFonts w:hint="default"/>
                      <w:color w:val="auto"/>
                      <w:lang w:val="en-US" w:eastAsia="zh-CN"/>
                    </w:rPr>
                    <w:t>535.5</w:t>
                  </w:r>
                  <w:r>
                    <w:rPr>
                      <w:rFonts w:hint="default"/>
                      <w:color w:val="auto"/>
                    </w:rPr>
                    <w:t>t/a</w:t>
                  </w:r>
                </w:p>
              </w:tc>
              <w:tc>
                <w:tcPr>
                  <w:tcW w:w="1455" w:type="dxa"/>
                  <w:vMerge w:val="continue"/>
                  <w:noWrap w:val="0"/>
                  <w:vAlign w:val="center"/>
                </w:tcPr>
                <w:p>
                  <w:pPr>
                    <w:pStyle w:val="32"/>
                    <w:bidi w:val="0"/>
                    <w:rPr>
                      <w:rFonts w:hint="default"/>
                      <w:color w:val="auto"/>
                    </w:rPr>
                  </w:pPr>
                </w:p>
              </w:tc>
              <w:tc>
                <w:tcPr>
                  <w:tcW w:w="1380" w:type="dxa"/>
                  <w:noWrap w:val="0"/>
                  <w:vAlign w:val="center"/>
                </w:tcPr>
                <w:p>
                  <w:pPr>
                    <w:pStyle w:val="32"/>
                    <w:bidi w:val="0"/>
                    <w:rPr>
                      <w:rFonts w:hint="default"/>
                      <w:color w:val="auto"/>
                      <w:lang w:val="en-US" w:eastAsia="zh-CN"/>
                    </w:rPr>
                  </w:pPr>
                  <w:r>
                    <w:rPr>
                      <w:rFonts w:hint="eastAsia"/>
                      <w:color w:val="auto"/>
                      <w:lang w:val="en-US" w:eastAsia="zh-CN"/>
                    </w:rPr>
                    <w:t>4.5</w:t>
                  </w:r>
                </w:p>
              </w:tc>
              <w:tc>
                <w:tcPr>
                  <w:tcW w:w="1787" w:type="dxa"/>
                  <w:vMerge w:val="continue"/>
                  <w:noWrap w:val="0"/>
                  <w:vAlign w:val="center"/>
                </w:tcPr>
                <w:p>
                  <w:pPr>
                    <w:pStyle w:val="32"/>
                    <w:bidi w:val="0"/>
                    <w:rPr>
                      <w:rFonts w:hint="default"/>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noWrap w:val="0"/>
                  <w:vAlign w:val="center"/>
                </w:tcPr>
                <w:p>
                  <w:pPr>
                    <w:pStyle w:val="32"/>
                    <w:bidi w:val="0"/>
                    <w:rPr>
                      <w:rFonts w:hint="default"/>
                      <w:color w:val="auto"/>
                    </w:rPr>
                  </w:pPr>
                  <w:r>
                    <w:rPr>
                      <w:rFonts w:hint="default"/>
                      <w:color w:val="auto"/>
                    </w:rPr>
                    <w:t>4</w:t>
                  </w:r>
                </w:p>
              </w:tc>
              <w:tc>
                <w:tcPr>
                  <w:tcW w:w="1182" w:type="dxa"/>
                  <w:noWrap w:val="0"/>
                  <w:vAlign w:val="center"/>
                </w:tcPr>
                <w:p>
                  <w:pPr>
                    <w:pStyle w:val="32"/>
                    <w:bidi w:val="0"/>
                    <w:rPr>
                      <w:rFonts w:hint="default"/>
                      <w:color w:val="auto"/>
                    </w:rPr>
                  </w:pPr>
                  <w:r>
                    <w:rPr>
                      <w:rFonts w:hint="default"/>
                      <w:color w:val="auto"/>
                      <w:lang w:val="en-US" w:eastAsia="zh-CN"/>
                    </w:rPr>
                    <w:t>曲曲菜</w:t>
                  </w:r>
                </w:p>
              </w:tc>
              <w:tc>
                <w:tcPr>
                  <w:tcW w:w="1639" w:type="dxa"/>
                  <w:noWrap w:val="0"/>
                  <w:vAlign w:val="center"/>
                </w:tcPr>
                <w:p>
                  <w:pPr>
                    <w:pStyle w:val="32"/>
                    <w:bidi w:val="0"/>
                    <w:rPr>
                      <w:rFonts w:hint="default"/>
                      <w:color w:val="auto"/>
                    </w:rPr>
                  </w:pPr>
                  <w:r>
                    <w:rPr>
                      <w:rFonts w:hint="default"/>
                      <w:color w:val="auto"/>
                      <w:lang w:val="en-US" w:eastAsia="zh-CN"/>
                    </w:rPr>
                    <w:t>535.5</w:t>
                  </w:r>
                  <w:r>
                    <w:rPr>
                      <w:rFonts w:hint="default"/>
                      <w:color w:val="auto"/>
                    </w:rPr>
                    <w:t>t/a</w:t>
                  </w:r>
                </w:p>
              </w:tc>
              <w:tc>
                <w:tcPr>
                  <w:tcW w:w="1455" w:type="dxa"/>
                  <w:vMerge w:val="continue"/>
                  <w:noWrap w:val="0"/>
                  <w:vAlign w:val="center"/>
                </w:tcPr>
                <w:p>
                  <w:pPr>
                    <w:pStyle w:val="32"/>
                    <w:bidi w:val="0"/>
                    <w:rPr>
                      <w:rFonts w:hint="default"/>
                      <w:color w:val="auto"/>
                    </w:rPr>
                  </w:pPr>
                </w:p>
              </w:tc>
              <w:tc>
                <w:tcPr>
                  <w:tcW w:w="1380" w:type="dxa"/>
                  <w:noWrap w:val="0"/>
                  <w:vAlign w:val="center"/>
                </w:tcPr>
                <w:p>
                  <w:pPr>
                    <w:pStyle w:val="32"/>
                    <w:bidi w:val="0"/>
                    <w:rPr>
                      <w:rFonts w:hint="default"/>
                      <w:color w:val="auto"/>
                      <w:lang w:val="en-US" w:eastAsia="zh-CN"/>
                    </w:rPr>
                  </w:pPr>
                  <w:r>
                    <w:rPr>
                      <w:rFonts w:hint="eastAsia"/>
                      <w:color w:val="auto"/>
                      <w:lang w:val="en-US" w:eastAsia="zh-CN"/>
                    </w:rPr>
                    <w:t>4.5</w:t>
                  </w:r>
                </w:p>
              </w:tc>
              <w:tc>
                <w:tcPr>
                  <w:tcW w:w="1787" w:type="dxa"/>
                  <w:vMerge w:val="continue"/>
                  <w:noWrap w:val="0"/>
                  <w:vAlign w:val="center"/>
                </w:tcPr>
                <w:p>
                  <w:pPr>
                    <w:pStyle w:val="32"/>
                    <w:bidi w:val="0"/>
                    <w:rPr>
                      <w:rFonts w:hint="default"/>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noWrap w:val="0"/>
                  <w:vAlign w:val="center"/>
                </w:tcPr>
                <w:p>
                  <w:pPr>
                    <w:pStyle w:val="32"/>
                    <w:bidi w:val="0"/>
                    <w:rPr>
                      <w:rFonts w:hint="default"/>
                      <w:color w:val="auto"/>
                    </w:rPr>
                  </w:pPr>
                  <w:r>
                    <w:rPr>
                      <w:rFonts w:hint="default"/>
                      <w:color w:val="auto"/>
                    </w:rPr>
                    <w:t>5</w:t>
                  </w:r>
                </w:p>
              </w:tc>
              <w:tc>
                <w:tcPr>
                  <w:tcW w:w="1182" w:type="dxa"/>
                  <w:noWrap w:val="0"/>
                  <w:vAlign w:val="center"/>
                </w:tcPr>
                <w:p>
                  <w:pPr>
                    <w:pStyle w:val="32"/>
                    <w:bidi w:val="0"/>
                    <w:rPr>
                      <w:rFonts w:hint="default"/>
                      <w:color w:val="auto"/>
                    </w:rPr>
                  </w:pPr>
                  <w:r>
                    <w:rPr>
                      <w:rFonts w:hint="default"/>
                      <w:color w:val="auto"/>
                      <w:lang w:val="en-US" w:eastAsia="zh-CN"/>
                    </w:rPr>
                    <w:t>苦菊</w:t>
                  </w:r>
                </w:p>
              </w:tc>
              <w:tc>
                <w:tcPr>
                  <w:tcW w:w="1639" w:type="dxa"/>
                  <w:noWrap w:val="0"/>
                  <w:vAlign w:val="center"/>
                </w:tcPr>
                <w:p>
                  <w:pPr>
                    <w:pStyle w:val="32"/>
                    <w:bidi w:val="0"/>
                    <w:rPr>
                      <w:rFonts w:hint="default"/>
                      <w:color w:val="auto"/>
                      <w:lang w:val="en-US" w:eastAsia="zh-CN"/>
                    </w:rPr>
                  </w:pPr>
                  <w:r>
                    <w:rPr>
                      <w:rFonts w:hint="default"/>
                      <w:color w:val="auto"/>
                      <w:lang w:val="en-US" w:eastAsia="zh-CN"/>
                    </w:rPr>
                    <w:t>535.5</w:t>
                  </w:r>
                  <w:r>
                    <w:rPr>
                      <w:rFonts w:hint="default"/>
                      <w:color w:val="auto"/>
                    </w:rPr>
                    <w:t>t/a</w:t>
                  </w:r>
                </w:p>
              </w:tc>
              <w:tc>
                <w:tcPr>
                  <w:tcW w:w="1455" w:type="dxa"/>
                  <w:vMerge w:val="continue"/>
                  <w:noWrap w:val="0"/>
                  <w:vAlign w:val="center"/>
                </w:tcPr>
                <w:p>
                  <w:pPr>
                    <w:pStyle w:val="32"/>
                    <w:bidi w:val="0"/>
                    <w:rPr>
                      <w:rFonts w:hint="default"/>
                      <w:color w:val="auto"/>
                    </w:rPr>
                  </w:pPr>
                </w:p>
              </w:tc>
              <w:tc>
                <w:tcPr>
                  <w:tcW w:w="1380" w:type="dxa"/>
                  <w:noWrap w:val="0"/>
                  <w:vAlign w:val="center"/>
                </w:tcPr>
                <w:p>
                  <w:pPr>
                    <w:pStyle w:val="32"/>
                    <w:bidi w:val="0"/>
                    <w:rPr>
                      <w:rFonts w:hint="default"/>
                      <w:color w:val="auto"/>
                      <w:lang w:val="en-US" w:eastAsia="zh-CN"/>
                    </w:rPr>
                  </w:pPr>
                  <w:r>
                    <w:rPr>
                      <w:rFonts w:hint="eastAsia"/>
                      <w:color w:val="auto"/>
                      <w:lang w:val="en-US" w:eastAsia="zh-CN"/>
                    </w:rPr>
                    <w:t>4.5</w:t>
                  </w:r>
                </w:p>
              </w:tc>
              <w:tc>
                <w:tcPr>
                  <w:tcW w:w="1787" w:type="dxa"/>
                  <w:vMerge w:val="continue"/>
                  <w:noWrap w:val="0"/>
                  <w:vAlign w:val="center"/>
                </w:tcPr>
                <w:p>
                  <w:pPr>
                    <w:pStyle w:val="32"/>
                    <w:bidi w:val="0"/>
                    <w:rPr>
                      <w:rFonts w:hint="default"/>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502" w:type="dxa"/>
                  <w:noWrap w:val="0"/>
                  <w:vAlign w:val="center"/>
                </w:tcPr>
                <w:p>
                  <w:pPr>
                    <w:pStyle w:val="32"/>
                    <w:bidi w:val="0"/>
                    <w:rPr>
                      <w:rFonts w:hint="default"/>
                      <w:color w:val="auto"/>
                    </w:rPr>
                  </w:pPr>
                  <w:r>
                    <w:rPr>
                      <w:rFonts w:hint="default"/>
                      <w:color w:val="auto"/>
                    </w:rPr>
                    <w:t>6</w:t>
                  </w:r>
                </w:p>
              </w:tc>
              <w:tc>
                <w:tcPr>
                  <w:tcW w:w="1182" w:type="dxa"/>
                  <w:noWrap w:val="0"/>
                  <w:vAlign w:val="center"/>
                </w:tcPr>
                <w:p>
                  <w:pPr>
                    <w:pStyle w:val="32"/>
                    <w:bidi w:val="0"/>
                    <w:rPr>
                      <w:rFonts w:hint="default"/>
                      <w:color w:val="auto"/>
                    </w:rPr>
                  </w:pPr>
                  <w:r>
                    <w:rPr>
                      <w:rFonts w:hint="default"/>
                      <w:color w:val="auto"/>
                      <w:lang w:val="en-US" w:eastAsia="zh-CN"/>
                    </w:rPr>
                    <w:t>面粉</w:t>
                  </w:r>
                </w:p>
              </w:tc>
              <w:tc>
                <w:tcPr>
                  <w:tcW w:w="1639" w:type="dxa"/>
                  <w:noWrap w:val="0"/>
                  <w:vAlign w:val="center"/>
                </w:tcPr>
                <w:p>
                  <w:pPr>
                    <w:pStyle w:val="32"/>
                    <w:bidi w:val="0"/>
                    <w:rPr>
                      <w:rFonts w:hint="default"/>
                      <w:color w:val="auto"/>
                    </w:rPr>
                  </w:pPr>
                  <w:r>
                    <w:rPr>
                      <w:rFonts w:hint="default"/>
                      <w:color w:val="auto"/>
                      <w:lang w:val="en-US" w:eastAsia="zh-CN"/>
                    </w:rPr>
                    <w:t>53.55</w:t>
                  </w:r>
                  <w:r>
                    <w:rPr>
                      <w:rFonts w:hint="default"/>
                      <w:color w:val="auto"/>
                    </w:rPr>
                    <w:t>t/a</w:t>
                  </w:r>
                </w:p>
              </w:tc>
              <w:tc>
                <w:tcPr>
                  <w:tcW w:w="1455" w:type="dxa"/>
                  <w:vMerge w:val="restart"/>
                  <w:noWrap w:val="0"/>
                  <w:vAlign w:val="center"/>
                </w:tcPr>
                <w:p>
                  <w:pPr>
                    <w:pStyle w:val="32"/>
                    <w:bidi w:val="0"/>
                    <w:rPr>
                      <w:rFonts w:hint="default"/>
                      <w:color w:val="auto"/>
                      <w:lang w:val="en-US" w:eastAsia="zh-CN"/>
                    </w:rPr>
                  </w:pPr>
                  <w:r>
                    <w:rPr>
                      <w:rFonts w:hint="eastAsia"/>
                      <w:color w:val="auto"/>
                      <w:lang w:val="en-US" w:eastAsia="zh-CN"/>
                    </w:rPr>
                    <w:t>常温库储存</w:t>
                  </w:r>
                </w:p>
              </w:tc>
              <w:tc>
                <w:tcPr>
                  <w:tcW w:w="1380" w:type="dxa"/>
                  <w:noWrap w:val="0"/>
                  <w:vAlign w:val="center"/>
                </w:tcPr>
                <w:p>
                  <w:pPr>
                    <w:pStyle w:val="32"/>
                    <w:bidi w:val="0"/>
                    <w:rPr>
                      <w:rFonts w:hint="default"/>
                      <w:color w:val="auto"/>
                      <w:lang w:val="en-US" w:eastAsia="zh-CN"/>
                    </w:rPr>
                  </w:pPr>
                  <w:r>
                    <w:rPr>
                      <w:rFonts w:hint="eastAsia"/>
                      <w:color w:val="auto"/>
                      <w:lang w:val="en-US" w:eastAsia="zh-CN"/>
                    </w:rPr>
                    <w:t>0.5</w:t>
                  </w:r>
                </w:p>
              </w:tc>
              <w:tc>
                <w:tcPr>
                  <w:tcW w:w="1787" w:type="dxa"/>
                  <w:noWrap w:val="0"/>
                  <w:vAlign w:val="center"/>
                </w:tcPr>
                <w:p>
                  <w:pPr>
                    <w:pStyle w:val="32"/>
                    <w:bidi w:val="0"/>
                    <w:rPr>
                      <w:rFonts w:hint="eastAsia"/>
                      <w:color w:val="auto"/>
                      <w:lang w:val="en-US" w:eastAsia="zh-CN"/>
                    </w:rPr>
                  </w:pPr>
                  <w:r>
                    <w:rPr>
                      <w:rFonts w:hint="eastAsia"/>
                      <w:color w:val="auto"/>
                      <w:lang w:val="en-US"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502" w:type="dxa"/>
                  <w:noWrap w:val="0"/>
                  <w:vAlign w:val="center"/>
                </w:tcPr>
                <w:p>
                  <w:pPr>
                    <w:pStyle w:val="32"/>
                    <w:bidi w:val="0"/>
                    <w:rPr>
                      <w:rFonts w:hint="default"/>
                      <w:color w:val="auto"/>
                    </w:rPr>
                  </w:pPr>
                  <w:r>
                    <w:rPr>
                      <w:rFonts w:hint="default"/>
                      <w:color w:val="auto"/>
                      <w:lang w:val="en-US" w:eastAsia="zh-CN"/>
                    </w:rPr>
                    <w:t>7</w:t>
                  </w:r>
                </w:p>
              </w:tc>
              <w:tc>
                <w:tcPr>
                  <w:tcW w:w="1182" w:type="dxa"/>
                  <w:noWrap w:val="0"/>
                  <w:vAlign w:val="center"/>
                </w:tcPr>
                <w:p>
                  <w:pPr>
                    <w:pStyle w:val="32"/>
                    <w:bidi w:val="0"/>
                    <w:rPr>
                      <w:rFonts w:hint="default"/>
                      <w:color w:val="auto"/>
                      <w:lang w:val="en-US" w:eastAsia="zh-CN"/>
                    </w:rPr>
                  </w:pPr>
                  <w:r>
                    <w:rPr>
                      <w:rFonts w:hint="default"/>
                      <w:color w:val="auto"/>
                      <w:lang w:val="en-US" w:eastAsia="zh-CN"/>
                    </w:rPr>
                    <w:t>白砂糖</w:t>
                  </w:r>
                </w:p>
              </w:tc>
              <w:tc>
                <w:tcPr>
                  <w:tcW w:w="1639" w:type="dxa"/>
                  <w:noWrap w:val="0"/>
                  <w:vAlign w:val="center"/>
                </w:tcPr>
                <w:p>
                  <w:pPr>
                    <w:pStyle w:val="32"/>
                    <w:bidi w:val="0"/>
                    <w:rPr>
                      <w:rFonts w:hint="default"/>
                      <w:color w:val="auto"/>
                      <w:lang w:val="en-US" w:eastAsia="zh-CN"/>
                    </w:rPr>
                  </w:pPr>
                  <w:r>
                    <w:rPr>
                      <w:rFonts w:hint="default"/>
                      <w:color w:val="auto"/>
                      <w:lang w:val="en-US" w:eastAsia="zh-CN"/>
                    </w:rPr>
                    <w:t>17.85</w:t>
                  </w:r>
                  <w:r>
                    <w:rPr>
                      <w:rFonts w:hint="default"/>
                      <w:color w:val="auto"/>
                    </w:rPr>
                    <w:t>t/a</w:t>
                  </w:r>
                </w:p>
              </w:tc>
              <w:tc>
                <w:tcPr>
                  <w:tcW w:w="1455" w:type="dxa"/>
                  <w:vMerge w:val="continue"/>
                  <w:noWrap w:val="0"/>
                  <w:vAlign w:val="center"/>
                </w:tcPr>
                <w:p>
                  <w:pPr>
                    <w:pStyle w:val="32"/>
                    <w:bidi w:val="0"/>
                    <w:rPr>
                      <w:rFonts w:hint="default"/>
                      <w:color w:val="auto"/>
                    </w:rPr>
                  </w:pPr>
                </w:p>
              </w:tc>
              <w:tc>
                <w:tcPr>
                  <w:tcW w:w="1380" w:type="dxa"/>
                  <w:noWrap w:val="0"/>
                  <w:vAlign w:val="center"/>
                </w:tcPr>
                <w:p>
                  <w:pPr>
                    <w:pStyle w:val="32"/>
                    <w:bidi w:val="0"/>
                    <w:rPr>
                      <w:rFonts w:hint="default"/>
                      <w:color w:val="auto"/>
                      <w:lang w:val="en-US" w:eastAsia="zh-CN"/>
                    </w:rPr>
                  </w:pPr>
                  <w:r>
                    <w:rPr>
                      <w:rFonts w:hint="eastAsia"/>
                      <w:color w:val="auto"/>
                      <w:lang w:val="en-US" w:eastAsia="zh-CN"/>
                    </w:rPr>
                    <w:t>0.15</w:t>
                  </w:r>
                </w:p>
              </w:tc>
              <w:tc>
                <w:tcPr>
                  <w:tcW w:w="1787" w:type="dxa"/>
                  <w:noWrap w:val="0"/>
                  <w:vAlign w:val="center"/>
                </w:tcPr>
                <w:p>
                  <w:pPr>
                    <w:pStyle w:val="32"/>
                    <w:bidi w:val="0"/>
                    <w:rPr>
                      <w:rFonts w:hint="default"/>
                      <w:color w:val="auto"/>
                    </w:rPr>
                  </w:pPr>
                  <w:r>
                    <w:rPr>
                      <w:rFonts w:hint="eastAsia"/>
                      <w:color w:val="auto"/>
                      <w:lang w:val="en-US"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502" w:type="dxa"/>
                  <w:noWrap w:val="0"/>
                  <w:vAlign w:val="center"/>
                </w:tcPr>
                <w:p>
                  <w:pPr>
                    <w:pStyle w:val="32"/>
                    <w:bidi w:val="0"/>
                    <w:rPr>
                      <w:rFonts w:hint="default"/>
                      <w:color w:val="auto"/>
                      <w:lang w:val="en-US" w:eastAsia="zh-CN"/>
                    </w:rPr>
                  </w:pPr>
                  <w:r>
                    <w:rPr>
                      <w:rFonts w:hint="eastAsia"/>
                      <w:color w:val="auto"/>
                      <w:lang w:val="en-US" w:eastAsia="zh-CN"/>
                    </w:rPr>
                    <w:t>8</w:t>
                  </w:r>
                </w:p>
              </w:tc>
              <w:tc>
                <w:tcPr>
                  <w:tcW w:w="1182" w:type="dxa"/>
                  <w:noWrap w:val="0"/>
                  <w:vAlign w:val="center"/>
                </w:tcPr>
                <w:p>
                  <w:pPr>
                    <w:pStyle w:val="32"/>
                    <w:bidi w:val="0"/>
                    <w:rPr>
                      <w:rFonts w:hint="default"/>
                      <w:color w:val="auto"/>
                      <w:lang w:val="en-US" w:eastAsia="zh-CN"/>
                    </w:rPr>
                  </w:pPr>
                  <w:r>
                    <w:rPr>
                      <w:rFonts w:hint="default"/>
                      <w:color w:val="auto"/>
                      <w:lang w:val="en-US" w:eastAsia="zh-CN"/>
                    </w:rPr>
                    <w:t>食用油</w:t>
                  </w:r>
                </w:p>
              </w:tc>
              <w:tc>
                <w:tcPr>
                  <w:tcW w:w="1639" w:type="dxa"/>
                  <w:noWrap w:val="0"/>
                  <w:vAlign w:val="center"/>
                </w:tcPr>
                <w:p>
                  <w:pPr>
                    <w:pStyle w:val="32"/>
                    <w:bidi w:val="0"/>
                    <w:rPr>
                      <w:rFonts w:hint="default"/>
                      <w:color w:val="auto"/>
                      <w:lang w:val="en-US" w:eastAsia="zh-CN"/>
                    </w:rPr>
                  </w:pPr>
                  <w:r>
                    <w:rPr>
                      <w:rFonts w:hint="eastAsia"/>
                      <w:color w:val="auto"/>
                      <w:lang w:val="en-US" w:eastAsia="zh-CN"/>
                    </w:rPr>
                    <w:t>10</w:t>
                  </w:r>
                  <w:r>
                    <w:rPr>
                      <w:rFonts w:hint="default"/>
                      <w:color w:val="auto"/>
                    </w:rPr>
                    <w:t>t/a</w:t>
                  </w:r>
                </w:p>
              </w:tc>
              <w:tc>
                <w:tcPr>
                  <w:tcW w:w="1455" w:type="dxa"/>
                  <w:vMerge w:val="restart"/>
                  <w:noWrap w:val="0"/>
                  <w:vAlign w:val="center"/>
                </w:tcPr>
                <w:p>
                  <w:pPr>
                    <w:pStyle w:val="32"/>
                    <w:bidi w:val="0"/>
                    <w:rPr>
                      <w:rFonts w:hint="default"/>
                      <w:color w:val="auto"/>
                      <w:lang w:val="en-US" w:eastAsia="zh-CN"/>
                    </w:rPr>
                  </w:pPr>
                  <w:r>
                    <w:rPr>
                      <w:rFonts w:hint="eastAsia"/>
                      <w:color w:val="auto"/>
                      <w:lang w:val="en-US" w:eastAsia="zh-CN"/>
                    </w:rPr>
                    <w:t>生产车间内储存</w:t>
                  </w:r>
                </w:p>
              </w:tc>
              <w:tc>
                <w:tcPr>
                  <w:tcW w:w="1380" w:type="dxa"/>
                  <w:noWrap w:val="0"/>
                  <w:vAlign w:val="center"/>
                </w:tcPr>
                <w:p>
                  <w:pPr>
                    <w:pStyle w:val="32"/>
                    <w:bidi w:val="0"/>
                    <w:rPr>
                      <w:rFonts w:hint="default" w:eastAsia="宋体"/>
                      <w:color w:val="auto"/>
                      <w:lang w:val="en-US" w:eastAsia="zh-CN"/>
                    </w:rPr>
                  </w:pPr>
                  <w:r>
                    <w:rPr>
                      <w:rFonts w:hint="eastAsia"/>
                      <w:color w:val="auto"/>
                      <w:lang w:val="en-US" w:eastAsia="zh-CN"/>
                    </w:rPr>
                    <w:t>0.5</w:t>
                  </w:r>
                </w:p>
              </w:tc>
              <w:tc>
                <w:tcPr>
                  <w:tcW w:w="1787" w:type="dxa"/>
                  <w:noWrap w:val="0"/>
                  <w:vAlign w:val="center"/>
                </w:tcPr>
                <w:p>
                  <w:pPr>
                    <w:pStyle w:val="32"/>
                    <w:bidi w:val="0"/>
                    <w:rPr>
                      <w:rFonts w:hint="default"/>
                      <w:color w:val="auto"/>
                    </w:rPr>
                  </w:pPr>
                  <w:r>
                    <w:rPr>
                      <w:rFonts w:hint="eastAsia"/>
                      <w:color w:val="auto"/>
                      <w:lang w:val="en-US"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502" w:type="dxa"/>
                  <w:noWrap w:val="0"/>
                  <w:vAlign w:val="center"/>
                </w:tcPr>
                <w:p>
                  <w:pPr>
                    <w:pStyle w:val="32"/>
                    <w:bidi w:val="0"/>
                    <w:rPr>
                      <w:rFonts w:hint="default"/>
                      <w:color w:val="auto"/>
                      <w:lang w:val="en-US" w:eastAsia="zh-CN"/>
                    </w:rPr>
                  </w:pPr>
                  <w:r>
                    <w:rPr>
                      <w:rFonts w:hint="eastAsia"/>
                      <w:color w:val="auto"/>
                      <w:lang w:val="en-US" w:eastAsia="zh-CN"/>
                    </w:rPr>
                    <w:t>9</w:t>
                  </w:r>
                </w:p>
              </w:tc>
              <w:tc>
                <w:tcPr>
                  <w:tcW w:w="1182" w:type="dxa"/>
                  <w:noWrap w:val="0"/>
                  <w:vAlign w:val="center"/>
                </w:tcPr>
                <w:p>
                  <w:pPr>
                    <w:pStyle w:val="32"/>
                    <w:bidi w:val="0"/>
                    <w:rPr>
                      <w:rFonts w:hint="default"/>
                      <w:color w:val="auto"/>
                      <w:lang w:val="en-US" w:eastAsia="zh-CN"/>
                    </w:rPr>
                  </w:pPr>
                  <w:r>
                    <w:rPr>
                      <w:rFonts w:hint="eastAsia"/>
                      <w:color w:val="auto"/>
                      <w:lang w:val="en-US" w:eastAsia="zh-CN"/>
                    </w:rPr>
                    <w:t>食盐</w:t>
                  </w:r>
                </w:p>
              </w:tc>
              <w:tc>
                <w:tcPr>
                  <w:tcW w:w="1639" w:type="dxa"/>
                  <w:noWrap w:val="0"/>
                  <w:vAlign w:val="center"/>
                </w:tcPr>
                <w:p>
                  <w:pPr>
                    <w:pStyle w:val="32"/>
                    <w:bidi w:val="0"/>
                    <w:rPr>
                      <w:rFonts w:hint="default"/>
                      <w:color w:val="auto"/>
                      <w:lang w:val="en-US" w:eastAsia="zh-CN"/>
                    </w:rPr>
                  </w:pPr>
                  <w:r>
                    <w:rPr>
                      <w:rFonts w:hint="eastAsia"/>
                      <w:color w:val="auto"/>
                      <w:lang w:val="en-US" w:eastAsia="zh-CN"/>
                    </w:rPr>
                    <w:t>3</w:t>
                  </w:r>
                  <w:r>
                    <w:rPr>
                      <w:rFonts w:hint="default"/>
                      <w:color w:val="auto"/>
                    </w:rPr>
                    <w:t>t/a</w:t>
                  </w:r>
                </w:p>
              </w:tc>
              <w:tc>
                <w:tcPr>
                  <w:tcW w:w="1455" w:type="dxa"/>
                  <w:vMerge w:val="continue"/>
                  <w:noWrap w:val="0"/>
                  <w:vAlign w:val="center"/>
                </w:tcPr>
                <w:p>
                  <w:pPr>
                    <w:pStyle w:val="32"/>
                    <w:bidi w:val="0"/>
                    <w:rPr>
                      <w:rFonts w:hint="default"/>
                      <w:color w:val="auto"/>
                    </w:rPr>
                  </w:pPr>
                </w:p>
              </w:tc>
              <w:tc>
                <w:tcPr>
                  <w:tcW w:w="1380" w:type="dxa"/>
                  <w:noWrap w:val="0"/>
                  <w:vAlign w:val="center"/>
                </w:tcPr>
                <w:p>
                  <w:pPr>
                    <w:pStyle w:val="32"/>
                    <w:bidi w:val="0"/>
                    <w:rPr>
                      <w:rFonts w:hint="default" w:eastAsia="宋体"/>
                      <w:color w:val="auto"/>
                      <w:lang w:val="en-US" w:eastAsia="zh-CN"/>
                    </w:rPr>
                  </w:pPr>
                  <w:r>
                    <w:rPr>
                      <w:rFonts w:hint="eastAsia"/>
                      <w:color w:val="auto"/>
                      <w:lang w:val="en-US" w:eastAsia="zh-CN"/>
                    </w:rPr>
                    <w:t>0.5</w:t>
                  </w:r>
                </w:p>
              </w:tc>
              <w:tc>
                <w:tcPr>
                  <w:tcW w:w="1787" w:type="dxa"/>
                  <w:noWrap w:val="0"/>
                  <w:vAlign w:val="center"/>
                </w:tcPr>
                <w:p>
                  <w:pPr>
                    <w:pStyle w:val="32"/>
                    <w:bidi w:val="0"/>
                    <w:rPr>
                      <w:rFonts w:hint="default"/>
                      <w:color w:val="auto"/>
                    </w:rPr>
                  </w:pPr>
                  <w:r>
                    <w:rPr>
                      <w:rFonts w:hint="eastAsia"/>
                      <w:color w:val="auto"/>
                      <w:lang w:val="en-US"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502" w:type="dxa"/>
                  <w:noWrap w:val="0"/>
                  <w:vAlign w:val="center"/>
                </w:tcPr>
                <w:p>
                  <w:pPr>
                    <w:pStyle w:val="32"/>
                    <w:bidi w:val="0"/>
                    <w:rPr>
                      <w:rFonts w:hint="default"/>
                      <w:color w:val="auto"/>
                      <w:lang w:val="en-US" w:eastAsia="zh-CN"/>
                    </w:rPr>
                  </w:pPr>
                  <w:r>
                    <w:rPr>
                      <w:rFonts w:hint="eastAsia"/>
                      <w:color w:val="auto"/>
                      <w:lang w:val="en-US" w:eastAsia="zh-CN"/>
                    </w:rPr>
                    <w:t>10</w:t>
                  </w:r>
                </w:p>
              </w:tc>
              <w:tc>
                <w:tcPr>
                  <w:tcW w:w="1182" w:type="dxa"/>
                  <w:noWrap w:val="0"/>
                  <w:vAlign w:val="center"/>
                </w:tcPr>
                <w:p>
                  <w:pPr>
                    <w:pStyle w:val="32"/>
                    <w:bidi w:val="0"/>
                    <w:rPr>
                      <w:rFonts w:hint="eastAsia"/>
                      <w:color w:val="auto"/>
                      <w:lang w:val="en-US" w:eastAsia="zh-CN"/>
                    </w:rPr>
                  </w:pPr>
                  <w:r>
                    <w:rPr>
                      <w:rFonts w:hint="eastAsia"/>
                      <w:color w:val="auto"/>
                      <w:lang w:val="en-US" w:eastAsia="zh-CN"/>
                    </w:rPr>
                    <w:t>仔姜</w:t>
                  </w:r>
                </w:p>
              </w:tc>
              <w:tc>
                <w:tcPr>
                  <w:tcW w:w="1639" w:type="dxa"/>
                  <w:noWrap w:val="0"/>
                  <w:vAlign w:val="center"/>
                </w:tcPr>
                <w:p>
                  <w:pPr>
                    <w:pStyle w:val="32"/>
                    <w:bidi w:val="0"/>
                    <w:rPr>
                      <w:rFonts w:hint="default"/>
                      <w:color w:val="auto"/>
                      <w:lang w:val="en-US" w:eastAsia="zh-CN"/>
                    </w:rPr>
                  </w:pPr>
                  <w:r>
                    <w:rPr>
                      <w:rFonts w:hint="eastAsia"/>
                      <w:color w:val="auto"/>
                      <w:lang w:val="en-US" w:eastAsia="zh-CN"/>
                    </w:rPr>
                    <w:t>10</w:t>
                  </w:r>
                  <w:r>
                    <w:rPr>
                      <w:rFonts w:hint="default"/>
                      <w:color w:val="auto"/>
                    </w:rPr>
                    <w:t>t/a</w:t>
                  </w:r>
                </w:p>
              </w:tc>
              <w:tc>
                <w:tcPr>
                  <w:tcW w:w="1455" w:type="dxa"/>
                  <w:vMerge w:val="continue"/>
                  <w:noWrap w:val="0"/>
                  <w:vAlign w:val="center"/>
                </w:tcPr>
                <w:p>
                  <w:pPr>
                    <w:pStyle w:val="32"/>
                    <w:bidi w:val="0"/>
                    <w:rPr>
                      <w:rFonts w:hint="default"/>
                      <w:color w:val="auto"/>
                    </w:rPr>
                  </w:pPr>
                </w:p>
              </w:tc>
              <w:tc>
                <w:tcPr>
                  <w:tcW w:w="1380" w:type="dxa"/>
                  <w:noWrap w:val="0"/>
                  <w:vAlign w:val="center"/>
                </w:tcPr>
                <w:p>
                  <w:pPr>
                    <w:pStyle w:val="32"/>
                    <w:bidi w:val="0"/>
                    <w:rPr>
                      <w:rFonts w:hint="default" w:eastAsia="宋体"/>
                      <w:color w:val="auto"/>
                      <w:lang w:val="en-US" w:eastAsia="zh-CN"/>
                    </w:rPr>
                  </w:pPr>
                  <w:r>
                    <w:rPr>
                      <w:rFonts w:hint="eastAsia"/>
                      <w:color w:val="auto"/>
                      <w:lang w:val="en-US" w:eastAsia="zh-CN"/>
                    </w:rPr>
                    <w:t>0.2</w:t>
                  </w:r>
                </w:p>
              </w:tc>
              <w:tc>
                <w:tcPr>
                  <w:tcW w:w="1787" w:type="dxa"/>
                  <w:noWrap w:val="0"/>
                  <w:vAlign w:val="center"/>
                </w:tcPr>
                <w:p>
                  <w:pPr>
                    <w:pStyle w:val="32"/>
                    <w:bidi w:val="0"/>
                    <w:rPr>
                      <w:rFonts w:hint="default"/>
                      <w:color w:val="auto"/>
                    </w:rPr>
                  </w:pPr>
                  <w:r>
                    <w:rPr>
                      <w:rFonts w:hint="eastAsia"/>
                      <w:color w:val="auto"/>
                      <w:lang w:val="en-US"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502" w:type="dxa"/>
                  <w:noWrap w:val="0"/>
                  <w:vAlign w:val="center"/>
                </w:tcPr>
                <w:p>
                  <w:pPr>
                    <w:pStyle w:val="32"/>
                    <w:bidi w:val="0"/>
                    <w:rPr>
                      <w:rFonts w:hint="default"/>
                      <w:color w:val="auto"/>
                      <w:lang w:val="en-US" w:eastAsia="zh-CN"/>
                    </w:rPr>
                  </w:pPr>
                  <w:r>
                    <w:rPr>
                      <w:rFonts w:hint="eastAsia"/>
                      <w:color w:val="auto"/>
                      <w:lang w:val="en-US" w:eastAsia="zh-CN"/>
                    </w:rPr>
                    <w:t>11</w:t>
                  </w:r>
                </w:p>
              </w:tc>
              <w:tc>
                <w:tcPr>
                  <w:tcW w:w="1182" w:type="dxa"/>
                  <w:noWrap w:val="0"/>
                  <w:vAlign w:val="center"/>
                </w:tcPr>
                <w:p>
                  <w:pPr>
                    <w:pStyle w:val="32"/>
                    <w:bidi w:val="0"/>
                    <w:rPr>
                      <w:rFonts w:hint="default"/>
                      <w:color w:val="auto"/>
                      <w:lang w:val="en-US" w:eastAsia="zh-CN"/>
                    </w:rPr>
                  </w:pPr>
                  <w:r>
                    <w:rPr>
                      <w:rFonts w:hint="eastAsia"/>
                      <w:color w:val="auto"/>
                      <w:lang w:val="en-US" w:eastAsia="zh-CN"/>
                    </w:rPr>
                    <w:t>泡椒</w:t>
                  </w:r>
                </w:p>
              </w:tc>
              <w:tc>
                <w:tcPr>
                  <w:tcW w:w="1639" w:type="dxa"/>
                  <w:noWrap w:val="0"/>
                  <w:vAlign w:val="center"/>
                </w:tcPr>
                <w:p>
                  <w:pPr>
                    <w:pStyle w:val="32"/>
                    <w:bidi w:val="0"/>
                    <w:rPr>
                      <w:rFonts w:hint="default"/>
                      <w:color w:val="auto"/>
                      <w:lang w:val="en-US" w:eastAsia="zh-CN"/>
                    </w:rPr>
                  </w:pPr>
                  <w:r>
                    <w:rPr>
                      <w:rFonts w:hint="eastAsia"/>
                      <w:color w:val="auto"/>
                      <w:lang w:val="en-US" w:eastAsia="zh-CN"/>
                    </w:rPr>
                    <w:t>10</w:t>
                  </w:r>
                  <w:r>
                    <w:rPr>
                      <w:rFonts w:hint="default"/>
                      <w:color w:val="auto"/>
                    </w:rPr>
                    <w:t>t/a</w:t>
                  </w:r>
                </w:p>
              </w:tc>
              <w:tc>
                <w:tcPr>
                  <w:tcW w:w="1455" w:type="dxa"/>
                  <w:vMerge w:val="continue"/>
                  <w:noWrap w:val="0"/>
                  <w:vAlign w:val="center"/>
                </w:tcPr>
                <w:p>
                  <w:pPr>
                    <w:pStyle w:val="32"/>
                    <w:bidi w:val="0"/>
                    <w:rPr>
                      <w:rFonts w:hint="default"/>
                      <w:color w:val="auto"/>
                    </w:rPr>
                  </w:pPr>
                </w:p>
              </w:tc>
              <w:tc>
                <w:tcPr>
                  <w:tcW w:w="1380" w:type="dxa"/>
                  <w:noWrap w:val="0"/>
                  <w:vAlign w:val="center"/>
                </w:tcPr>
                <w:p>
                  <w:pPr>
                    <w:pStyle w:val="32"/>
                    <w:bidi w:val="0"/>
                    <w:rPr>
                      <w:rFonts w:hint="default" w:eastAsia="宋体"/>
                      <w:color w:val="auto"/>
                      <w:lang w:val="en-US" w:eastAsia="zh-CN"/>
                    </w:rPr>
                  </w:pPr>
                  <w:r>
                    <w:rPr>
                      <w:rFonts w:hint="eastAsia"/>
                      <w:color w:val="auto"/>
                      <w:lang w:val="en-US" w:eastAsia="zh-CN"/>
                    </w:rPr>
                    <w:t>0.2</w:t>
                  </w:r>
                </w:p>
              </w:tc>
              <w:tc>
                <w:tcPr>
                  <w:tcW w:w="1787" w:type="dxa"/>
                  <w:noWrap w:val="0"/>
                  <w:vAlign w:val="center"/>
                </w:tcPr>
                <w:p>
                  <w:pPr>
                    <w:pStyle w:val="32"/>
                    <w:bidi w:val="0"/>
                    <w:rPr>
                      <w:rFonts w:hint="default"/>
                      <w:color w:val="auto"/>
                    </w:rPr>
                  </w:pPr>
                  <w:r>
                    <w:rPr>
                      <w:rFonts w:hint="eastAsia"/>
                      <w:color w:val="auto"/>
                      <w:lang w:val="en-US"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502" w:type="dxa"/>
                  <w:noWrap w:val="0"/>
                  <w:vAlign w:val="center"/>
                </w:tcPr>
                <w:p>
                  <w:pPr>
                    <w:pStyle w:val="32"/>
                    <w:bidi w:val="0"/>
                    <w:rPr>
                      <w:rFonts w:hint="default"/>
                      <w:color w:val="auto"/>
                      <w:lang w:val="en-US" w:eastAsia="zh-CN"/>
                    </w:rPr>
                  </w:pPr>
                  <w:r>
                    <w:rPr>
                      <w:rFonts w:hint="eastAsia"/>
                      <w:color w:val="auto"/>
                      <w:lang w:val="en-US" w:eastAsia="zh-CN"/>
                    </w:rPr>
                    <w:t>12</w:t>
                  </w:r>
                </w:p>
              </w:tc>
              <w:tc>
                <w:tcPr>
                  <w:tcW w:w="1182" w:type="dxa"/>
                  <w:noWrap w:val="0"/>
                  <w:vAlign w:val="center"/>
                </w:tcPr>
                <w:p>
                  <w:pPr>
                    <w:pStyle w:val="32"/>
                    <w:bidi w:val="0"/>
                    <w:rPr>
                      <w:rFonts w:hint="default"/>
                      <w:color w:val="auto"/>
                      <w:lang w:val="en-US" w:eastAsia="zh-CN"/>
                    </w:rPr>
                  </w:pPr>
                  <w:r>
                    <w:rPr>
                      <w:rFonts w:hint="default"/>
                      <w:color w:val="auto"/>
                      <w:lang w:val="en-US" w:eastAsia="zh-CN"/>
                    </w:rPr>
                    <w:t>其他调味品</w:t>
                  </w:r>
                </w:p>
              </w:tc>
              <w:tc>
                <w:tcPr>
                  <w:tcW w:w="1639" w:type="dxa"/>
                  <w:noWrap w:val="0"/>
                  <w:vAlign w:val="center"/>
                </w:tcPr>
                <w:p>
                  <w:pPr>
                    <w:pStyle w:val="32"/>
                    <w:bidi w:val="0"/>
                    <w:rPr>
                      <w:rFonts w:hint="default"/>
                      <w:color w:val="auto"/>
                      <w:lang w:val="en-US" w:eastAsia="zh-CN"/>
                    </w:rPr>
                  </w:pPr>
                  <w:r>
                    <w:rPr>
                      <w:rFonts w:hint="eastAsia"/>
                      <w:color w:val="auto"/>
                      <w:lang w:val="en-US" w:eastAsia="zh-CN"/>
                    </w:rPr>
                    <w:t>5.2</w:t>
                  </w:r>
                  <w:r>
                    <w:rPr>
                      <w:rFonts w:hint="default"/>
                      <w:color w:val="auto"/>
                    </w:rPr>
                    <w:t>t/a</w:t>
                  </w:r>
                </w:p>
              </w:tc>
              <w:tc>
                <w:tcPr>
                  <w:tcW w:w="1455" w:type="dxa"/>
                  <w:vMerge w:val="continue"/>
                  <w:noWrap w:val="0"/>
                  <w:vAlign w:val="center"/>
                </w:tcPr>
                <w:p>
                  <w:pPr>
                    <w:pStyle w:val="32"/>
                    <w:bidi w:val="0"/>
                    <w:rPr>
                      <w:rFonts w:hint="default"/>
                      <w:color w:val="auto"/>
                    </w:rPr>
                  </w:pPr>
                </w:p>
              </w:tc>
              <w:tc>
                <w:tcPr>
                  <w:tcW w:w="1380" w:type="dxa"/>
                  <w:noWrap w:val="0"/>
                  <w:vAlign w:val="center"/>
                </w:tcPr>
                <w:p>
                  <w:pPr>
                    <w:pStyle w:val="32"/>
                    <w:bidi w:val="0"/>
                    <w:rPr>
                      <w:rFonts w:hint="default" w:eastAsia="宋体"/>
                      <w:color w:val="auto"/>
                      <w:lang w:val="en-US" w:eastAsia="zh-CN"/>
                    </w:rPr>
                  </w:pPr>
                  <w:r>
                    <w:rPr>
                      <w:rFonts w:hint="eastAsia"/>
                      <w:color w:val="auto"/>
                      <w:lang w:val="en-US" w:eastAsia="zh-CN"/>
                    </w:rPr>
                    <w:t>0.5</w:t>
                  </w:r>
                </w:p>
              </w:tc>
              <w:tc>
                <w:tcPr>
                  <w:tcW w:w="1787" w:type="dxa"/>
                  <w:noWrap w:val="0"/>
                  <w:vAlign w:val="center"/>
                </w:tcPr>
                <w:p>
                  <w:pPr>
                    <w:pStyle w:val="32"/>
                    <w:bidi w:val="0"/>
                    <w:rPr>
                      <w:rFonts w:hint="default"/>
                      <w:color w:val="auto"/>
                    </w:rPr>
                  </w:pPr>
                  <w:r>
                    <w:rPr>
                      <w:rFonts w:hint="eastAsia"/>
                      <w:color w:val="auto"/>
                      <w:lang w:val="en-US"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502" w:type="dxa"/>
                  <w:noWrap w:val="0"/>
                  <w:vAlign w:val="center"/>
                </w:tcPr>
                <w:p>
                  <w:pPr>
                    <w:pStyle w:val="32"/>
                    <w:bidi w:val="0"/>
                    <w:rPr>
                      <w:rFonts w:hint="default"/>
                      <w:color w:val="auto"/>
                      <w:lang w:val="en-US" w:eastAsia="zh-CN"/>
                    </w:rPr>
                  </w:pPr>
                  <w:r>
                    <w:rPr>
                      <w:rFonts w:hint="eastAsia"/>
                      <w:color w:val="auto"/>
                      <w:lang w:val="en-US" w:eastAsia="zh-CN"/>
                    </w:rPr>
                    <w:t>14</w:t>
                  </w:r>
                </w:p>
              </w:tc>
              <w:tc>
                <w:tcPr>
                  <w:tcW w:w="1182" w:type="dxa"/>
                  <w:noWrap w:val="0"/>
                  <w:vAlign w:val="center"/>
                </w:tcPr>
                <w:p>
                  <w:pPr>
                    <w:pStyle w:val="32"/>
                    <w:bidi w:val="0"/>
                    <w:rPr>
                      <w:rFonts w:hint="default"/>
                      <w:color w:val="auto"/>
                      <w:lang w:val="en-US" w:eastAsia="zh-CN"/>
                    </w:rPr>
                  </w:pPr>
                  <w:r>
                    <w:rPr>
                      <w:rFonts w:hint="default"/>
                      <w:color w:val="auto"/>
                      <w:lang w:val="en-US" w:eastAsia="zh-CN"/>
                    </w:rPr>
                    <w:t>塑料包装材料</w:t>
                  </w:r>
                </w:p>
              </w:tc>
              <w:tc>
                <w:tcPr>
                  <w:tcW w:w="1639" w:type="dxa"/>
                  <w:noWrap w:val="0"/>
                  <w:vAlign w:val="center"/>
                </w:tcPr>
                <w:p>
                  <w:pPr>
                    <w:pStyle w:val="32"/>
                    <w:bidi w:val="0"/>
                    <w:rPr>
                      <w:rFonts w:hint="default"/>
                      <w:color w:val="auto"/>
                      <w:lang w:val="en-US" w:eastAsia="zh-CN"/>
                    </w:rPr>
                  </w:pPr>
                  <w:r>
                    <w:rPr>
                      <w:rFonts w:hint="eastAsia"/>
                      <w:color w:val="auto"/>
                      <w:lang w:val="en-US" w:eastAsia="zh-CN"/>
                    </w:rPr>
                    <w:t>8000万只</w:t>
                  </w:r>
                </w:p>
              </w:tc>
              <w:tc>
                <w:tcPr>
                  <w:tcW w:w="1455" w:type="dxa"/>
                  <w:vMerge w:val="restart"/>
                  <w:noWrap w:val="0"/>
                  <w:vAlign w:val="center"/>
                </w:tcPr>
                <w:p>
                  <w:pPr>
                    <w:pStyle w:val="32"/>
                    <w:bidi w:val="0"/>
                    <w:rPr>
                      <w:rFonts w:hint="default"/>
                      <w:color w:val="auto"/>
                      <w:lang w:val="en-US" w:eastAsia="zh-CN"/>
                    </w:rPr>
                  </w:pPr>
                  <w:r>
                    <w:rPr>
                      <w:rFonts w:hint="eastAsia"/>
                      <w:color w:val="auto"/>
                      <w:lang w:val="en-US" w:eastAsia="zh-CN"/>
                    </w:rPr>
                    <w:t>袋装间暂存</w:t>
                  </w:r>
                </w:p>
              </w:tc>
              <w:tc>
                <w:tcPr>
                  <w:tcW w:w="1380" w:type="dxa"/>
                  <w:noWrap w:val="0"/>
                  <w:vAlign w:val="center"/>
                </w:tcPr>
                <w:p>
                  <w:pPr>
                    <w:pStyle w:val="32"/>
                    <w:bidi w:val="0"/>
                    <w:rPr>
                      <w:rFonts w:hint="default"/>
                      <w:color w:val="auto"/>
                    </w:rPr>
                  </w:pPr>
                  <w:r>
                    <w:rPr>
                      <w:rFonts w:hint="default"/>
                      <w:color w:val="auto"/>
                    </w:rPr>
                    <w:t>/</w:t>
                  </w:r>
                </w:p>
              </w:tc>
              <w:tc>
                <w:tcPr>
                  <w:tcW w:w="1787" w:type="dxa"/>
                  <w:noWrap w:val="0"/>
                  <w:vAlign w:val="center"/>
                </w:tcPr>
                <w:p>
                  <w:pPr>
                    <w:pStyle w:val="32"/>
                    <w:bidi w:val="0"/>
                    <w:rPr>
                      <w:rFonts w:hint="default"/>
                      <w:color w:val="auto"/>
                      <w:lang w:val="en-US" w:eastAsia="zh-CN"/>
                    </w:rPr>
                  </w:pPr>
                  <w:r>
                    <w:rPr>
                      <w:rFonts w:hint="eastAsia"/>
                      <w:color w:val="auto"/>
                      <w:lang w:val="en-US"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noWrap w:val="0"/>
                  <w:vAlign w:val="center"/>
                </w:tcPr>
                <w:p>
                  <w:pPr>
                    <w:pStyle w:val="32"/>
                    <w:bidi w:val="0"/>
                    <w:rPr>
                      <w:rFonts w:hint="default"/>
                      <w:color w:val="auto"/>
                      <w:lang w:val="en-US" w:eastAsia="zh-CN"/>
                    </w:rPr>
                  </w:pPr>
                  <w:r>
                    <w:rPr>
                      <w:rFonts w:hint="eastAsia"/>
                      <w:color w:val="auto"/>
                      <w:lang w:val="en-US" w:eastAsia="zh-CN"/>
                    </w:rPr>
                    <w:t>15</w:t>
                  </w:r>
                </w:p>
              </w:tc>
              <w:tc>
                <w:tcPr>
                  <w:tcW w:w="1182" w:type="dxa"/>
                  <w:noWrap w:val="0"/>
                  <w:vAlign w:val="center"/>
                </w:tcPr>
                <w:p>
                  <w:pPr>
                    <w:pStyle w:val="32"/>
                    <w:bidi w:val="0"/>
                    <w:rPr>
                      <w:rFonts w:hint="default"/>
                      <w:color w:val="auto"/>
                    </w:rPr>
                  </w:pPr>
                  <w:r>
                    <w:rPr>
                      <w:rFonts w:hint="default"/>
                      <w:color w:val="auto"/>
                      <w:lang w:val="en-US" w:eastAsia="zh-CN"/>
                    </w:rPr>
                    <w:t>外包装纸箱</w:t>
                  </w:r>
                </w:p>
              </w:tc>
              <w:tc>
                <w:tcPr>
                  <w:tcW w:w="1639" w:type="dxa"/>
                  <w:noWrap w:val="0"/>
                  <w:vAlign w:val="center"/>
                </w:tcPr>
                <w:p>
                  <w:pPr>
                    <w:pStyle w:val="32"/>
                    <w:bidi w:val="0"/>
                    <w:rPr>
                      <w:rFonts w:hint="default"/>
                      <w:color w:val="auto"/>
                      <w:lang w:val="en-US" w:eastAsia="zh-CN"/>
                    </w:rPr>
                  </w:pPr>
                  <w:r>
                    <w:rPr>
                      <w:rFonts w:hint="eastAsia"/>
                      <w:color w:val="auto"/>
                      <w:lang w:val="en-US" w:eastAsia="zh-CN"/>
                    </w:rPr>
                    <w:t>200万个</w:t>
                  </w:r>
                </w:p>
              </w:tc>
              <w:tc>
                <w:tcPr>
                  <w:tcW w:w="1455" w:type="dxa"/>
                  <w:vMerge w:val="continue"/>
                  <w:noWrap w:val="0"/>
                  <w:vAlign w:val="center"/>
                </w:tcPr>
                <w:p>
                  <w:pPr>
                    <w:pStyle w:val="32"/>
                    <w:bidi w:val="0"/>
                    <w:rPr>
                      <w:rFonts w:hint="default"/>
                      <w:color w:val="auto"/>
                    </w:rPr>
                  </w:pPr>
                </w:p>
              </w:tc>
              <w:tc>
                <w:tcPr>
                  <w:tcW w:w="1380" w:type="dxa"/>
                  <w:noWrap w:val="0"/>
                  <w:vAlign w:val="center"/>
                </w:tcPr>
                <w:p>
                  <w:pPr>
                    <w:pStyle w:val="32"/>
                    <w:bidi w:val="0"/>
                    <w:rPr>
                      <w:rFonts w:hint="eastAsia" w:eastAsia="宋体"/>
                      <w:color w:val="auto"/>
                      <w:lang w:val="en-US" w:eastAsia="zh-CN"/>
                    </w:rPr>
                  </w:pPr>
                  <w:r>
                    <w:rPr>
                      <w:rFonts w:hint="eastAsia"/>
                      <w:color w:val="auto"/>
                      <w:lang w:val="en-US" w:eastAsia="zh-CN"/>
                    </w:rPr>
                    <w:t>/</w:t>
                  </w:r>
                </w:p>
              </w:tc>
              <w:tc>
                <w:tcPr>
                  <w:tcW w:w="1787" w:type="dxa"/>
                  <w:noWrap w:val="0"/>
                  <w:vAlign w:val="center"/>
                </w:tcPr>
                <w:p>
                  <w:pPr>
                    <w:pStyle w:val="32"/>
                    <w:bidi w:val="0"/>
                    <w:rPr>
                      <w:rFonts w:hint="default"/>
                      <w:color w:val="auto"/>
                      <w:lang w:val="en-US" w:eastAsia="zh-CN"/>
                    </w:rPr>
                  </w:pPr>
                  <w:r>
                    <w:rPr>
                      <w:rFonts w:hint="eastAsia"/>
                      <w:color w:val="auto"/>
                      <w:lang w:val="en-US"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noWrap w:val="0"/>
                  <w:vAlign w:val="center"/>
                </w:tcPr>
                <w:p>
                  <w:pPr>
                    <w:pStyle w:val="32"/>
                    <w:bidi w:val="0"/>
                    <w:rPr>
                      <w:rFonts w:hint="eastAsia"/>
                      <w:color w:val="auto"/>
                      <w:lang w:val="en-US" w:eastAsia="zh-CN"/>
                    </w:rPr>
                  </w:pPr>
                  <w:r>
                    <w:rPr>
                      <w:rFonts w:hint="eastAsia"/>
                      <w:color w:val="auto"/>
                      <w:lang w:val="en-US" w:eastAsia="zh-CN"/>
                    </w:rPr>
                    <w:t>16</w:t>
                  </w:r>
                </w:p>
              </w:tc>
              <w:tc>
                <w:tcPr>
                  <w:tcW w:w="1182" w:type="dxa"/>
                  <w:noWrap w:val="0"/>
                  <w:vAlign w:val="center"/>
                </w:tcPr>
                <w:p>
                  <w:pPr>
                    <w:pStyle w:val="32"/>
                    <w:bidi w:val="0"/>
                    <w:rPr>
                      <w:rFonts w:hint="default"/>
                      <w:color w:val="auto"/>
                      <w:lang w:val="en-US" w:eastAsia="zh-CN"/>
                    </w:rPr>
                  </w:pPr>
                  <w:r>
                    <w:rPr>
                      <w:rFonts w:hint="eastAsia"/>
                      <w:color w:val="auto"/>
                      <w:lang w:val="en-US" w:eastAsia="zh-CN"/>
                    </w:rPr>
                    <w:t>消毒酒精</w:t>
                  </w:r>
                </w:p>
              </w:tc>
              <w:tc>
                <w:tcPr>
                  <w:tcW w:w="1639" w:type="dxa"/>
                  <w:noWrap w:val="0"/>
                  <w:vAlign w:val="center"/>
                </w:tcPr>
                <w:p>
                  <w:pPr>
                    <w:pStyle w:val="32"/>
                    <w:bidi w:val="0"/>
                    <w:rPr>
                      <w:rFonts w:hint="default"/>
                      <w:color w:val="auto"/>
                      <w:lang w:val="en-US" w:eastAsia="zh-CN"/>
                    </w:rPr>
                  </w:pPr>
                  <w:r>
                    <w:rPr>
                      <w:rFonts w:hint="eastAsia"/>
                      <w:color w:val="auto"/>
                      <w:lang w:val="en-US" w:eastAsia="zh-CN"/>
                    </w:rPr>
                    <w:t>50瓶（20L）</w:t>
                  </w:r>
                </w:p>
              </w:tc>
              <w:tc>
                <w:tcPr>
                  <w:tcW w:w="1455" w:type="dxa"/>
                  <w:noWrap w:val="0"/>
                  <w:vAlign w:val="center"/>
                </w:tcPr>
                <w:p>
                  <w:pPr>
                    <w:pStyle w:val="32"/>
                    <w:bidi w:val="0"/>
                    <w:rPr>
                      <w:rFonts w:hint="default" w:eastAsia="宋体"/>
                      <w:color w:val="auto"/>
                      <w:lang w:val="en-US" w:eastAsia="zh-CN"/>
                    </w:rPr>
                  </w:pPr>
                  <w:r>
                    <w:rPr>
                      <w:rFonts w:hint="eastAsia"/>
                      <w:color w:val="auto"/>
                      <w:lang w:val="en-US" w:eastAsia="zh-CN"/>
                    </w:rPr>
                    <w:t>消毒更衣间</w:t>
                  </w:r>
                </w:p>
              </w:tc>
              <w:tc>
                <w:tcPr>
                  <w:tcW w:w="1380" w:type="dxa"/>
                  <w:noWrap w:val="0"/>
                  <w:vAlign w:val="center"/>
                </w:tcPr>
                <w:p>
                  <w:pPr>
                    <w:pStyle w:val="32"/>
                    <w:bidi w:val="0"/>
                    <w:rPr>
                      <w:rFonts w:hint="default"/>
                      <w:color w:val="auto"/>
                      <w:lang w:val="en-US" w:eastAsia="zh-CN"/>
                    </w:rPr>
                  </w:pPr>
                  <w:r>
                    <w:rPr>
                      <w:rFonts w:hint="eastAsia"/>
                      <w:color w:val="auto"/>
                      <w:lang w:val="en-US" w:eastAsia="zh-CN"/>
                    </w:rPr>
                    <w:t>0.01</w:t>
                  </w:r>
                </w:p>
              </w:tc>
              <w:tc>
                <w:tcPr>
                  <w:tcW w:w="1787" w:type="dxa"/>
                  <w:noWrap w:val="0"/>
                  <w:vAlign w:val="center"/>
                </w:tcPr>
                <w:p>
                  <w:pPr>
                    <w:pStyle w:val="32"/>
                    <w:bidi w:val="0"/>
                    <w:rPr>
                      <w:rFonts w:hint="eastAsia"/>
                      <w:color w:val="auto"/>
                      <w:lang w:val="en-US" w:eastAsia="zh-CN"/>
                    </w:rPr>
                  </w:pPr>
                  <w:r>
                    <w:rPr>
                      <w:rFonts w:hint="eastAsia" w:ascii="Times New Roman" w:eastAsia="宋体"/>
                      <w:color w:val="auto"/>
                      <w:lang w:val="en-US"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noWrap w:val="0"/>
                  <w:vAlign w:val="center"/>
                </w:tcPr>
                <w:p>
                  <w:pPr>
                    <w:pStyle w:val="32"/>
                    <w:bidi w:val="0"/>
                    <w:rPr>
                      <w:rFonts w:hint="eastAsia"/>
                      <w:color w:val="auto"/>
                      <w:lang w:val="en-US" w:eastAsia="zh-CN"/>
                    </w:rPr>
                  </w:pPr>
                  <w:r>
                    <w:rPr>
                      <w:rFonts w:hint="eastAsia"/>
                      <w:color w:val="auto"/>
                      <w:lang w:val="en-US" w:eastAsia="zh-CN"/>
                    </w:rPr>
                    <w:t>17</w:t>
                  </w:r>
                </w:p>
              </w:tc>
              <w:tc>
                <w:tcPr>
                  <w:tcW w:w="1182" w:type="dxa"/>
                  <w:noWrap w:val="0"/>
                  <w:vAlign w:val="center"/>
                </w:tcPr>
                <w:p>
                  <w:pPr>
                    <w:pStyle w:val="32"/>
                    <w:bidi w:val="0"/>
                    <w:rPr>
                      <w:rFonts w:hint="default"/>
                      <w:color w:val="auto"/>
                      <w:lang w:val="en-US" w:eastAsia="zh-CN"/>
                    </w:rPr>
                  </w:pPr>
                  <w:r>
                    <w:rPr>
                      <w:rFonts w:hint="eastAsia"/>
                      <w:color w:val="auto"/>
                      <w:lang w:val="en-US" w:eastAsia="zh-CN"/>
                    </w:rPr>
                    <w:t>制冷剂（R410A）</w:t>
                  </w:r>
                </w:p>
              </w:tc>
              <w:tc>
                <w:tcPr>
                  <w:tcW w:w="1639" w:type="dxa"/>
                  <w:noWrap w:val="0"/>
                  <w:vAlign w:val="center"/>
                </w:tcPr>
                <w:p>
                  <w:pPr>
                    <w:pStyle w:val="32"/>
                    <w:bidi w:val="0"/>
                    <w:rPr>
                      <w:rFonts w:hint="default"/>
                      <w:color w:val="auto"/>
                      <w:lang w:val="en-US" w:eastAsia="zh-CN"/>
                    </w:rPr>
                  </w:pPr>
                  <w:r>
                    <w:rPr>
                      <w:rFonts w:hint="eastAsia"/>
                      <w:color w:val="auto"/>
                      <w:lang w:val="en-US" w:eastAsia="zh-CN"/>
                    </w:rPr>
                    <w:t>0.075t/a</w:t>
                  </w:r>
                </w:p>
              </w:tc>
              <w:tc>
                <w:tcPr>
                  <w:tcW w:w="1455" w:type="dxa"/>
                  <w:noWrap w:val="0"/>
                  <w:vAlign w:val="center"/>
                </w:tcPr>
                <w:p>
                  <w:pPr>
                    <w:pStyle w:val="32"/>
                    <w:bidi w:val="0"/>
                    <w:rPr>
                      <w:rFonts w:hint="default"/>
                      <w:color w:val="auto"/>
                      <w:lang w:val="en-US" w:eastAsia="zh-CN"/>
                    </w:rPr>
                  </w:pPr>
                  <w:r>
                    <w:rPr>
                      <w:rFonts w:hint="eastAsia"/>
                      <w:color w:val="auto"/>
                      <w:lang w:val="en-US" w:eastAsia="zh-CN"/>
                    </w:rPr>
                    <w:t>不储存，直接加入制冷机</w:t>
                  </w:r>
                </w:p>
              </w:tc>
              <w:tc>
                <w:tcPr>
                  <w:tcW w:w="1380" w:type="dxa"/>
                  <w:noWrap w:val="0"/>
                  <w:vAlign w:val="center"/>
                </w:tcPr>
                <w:p>
                  <w:pPr>
                    <w:pStyle w:val="32"/>
                    <w:bidi w:val="0"/>
                    <w:rPr>
                      <w:rFonts w:hint="default"/>
                      <w:color w:val="auto"/>
                      <w:lang w:val="en-US" w:eastAsia="zh-CN"/>
                    </w:rPr>
                  </w:pPr>
                  <w:r>
                    <w:rPr>
                      <w:rFonts w:hint="eastAsia"/>
                      <w:color w:val="auto"/>
                      <w:lang w:val="en-US" w:eastAsia="zh-CN"/>
                    </w:rPr>
                    <w:t>0.075</w:t>
                  </w:r>
                </w:p>
              </w:tc>
              <w:tc>
                <w:tcPr>
                  <w:tcW w:w="1787" w:type="dxa"/>
                  <w:noWrap w:val="0"/>
                  <w:vAlign w:val="center"/>
                </w:tcPr>
                <w:p>
                  <w:pPr>
                    <w:pStyle w:val="32"/>
                    <w:bidi w:val="0"/>
                    <w:rPr>
                      <w:rFonts w:hint="eastAsia" w:ascii="Times New Roman" w:eastAsia="宋体"/>
                      <w:color w:val="auto"/>
                      <w:lang w:val="en-US" w:eastAsia="zh-CN"/>
                    </w:rPr>
                  </w:pPr>
                  <w:r>
                    <w:rPr>
                      <w:rFonts w:hint="eastAsia" w:ascii="Times New Roman" w:eastAsia="宋体"/>
                      <w:color w:val="auto"/>
                      <w:lang w:val="en-US"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noWrap w:val="0"/>
                  <w:vAlign w:val="center"/>
                </w:tcPr>
                <w:p>
                  <w:pPr>
                    <w:pStyle w:val="32"/>
                    <w:bidi w:val="0"/>
                    <w:rPr>
                      <w:rFonts w:hint="default"/>
                      <w:color w:val="auto"/>
                      <w:lang w:val="en-US" w:eastAsia="zh-CN"/>
                    </w:rPr>
                  </w:pPr>
                  <w:r>
                    <w:rPr>
                      <w:rFonts w:hint="eastAsia"/>
                      <w:color w:val="auto"/>
                      <w:lang w:val="en-US" w:eastAsia="zh-CN"/>
                    </w:rPr>
                    <w:t>18</w:t>
                  </w:r>
                </w:p>
              </w:tc>
              <w:tc>
                <w:tcPr>
                  <w:tcW w:w="1182" w:type="dxa"/>
                  <w:noWrap w:val="0"/>
                  <w:vAlign w:val="center"/>
                </w:tcPr>
                <w:p>
                  <w:pPr>
                    <w:pStyle w:val="32"/>
                    <w:bidi w:val="0"/>
                    <w:rPr>
                      <w:rFonts w:hint="default"/>
                      <w:color w:val="auto"/>
                      <w:lang w:val="en-US" w:eastAsia="zh-CN"/>
                    </w:rPr>
                  </w:pPr>
                  <w:r>
                    <w:rPr>
                      <w:rFonts w:hint="eastAsia"/>
                      <w:color w:val="auto"/>
                      <w:lang w:val="en-US" w:eastAsia="zh-CN"/>
                    </w:rPr>
                    <w:t>新鲜水</w:t>
                  </w:r>
                </w:p>
              </w:tc>
              <w:tc>
                <w:tcPr>
                  <w:tcW w:w="1639" w:type="dxa"/>
                  <w:noWrap w:val="0"/>
                  <w:vAlign w:val="center"/>
                </w:tcPr>
                <w:p>
                  <w:pPr>
                    <w:pStyle w:val="32"/>
                    <w:bidi w:val="0"/>
                    <w:rPr>
                      <w:rFonts w:hint="default"/>
                      <w:color w:val="auto"/>
                      <w:lang w:val="en-US" w:eastAsia="zh-CN"/>
                    </w:rPr>
                  </w:pPr>
                  <w:r>
                    <w:rPr>
                      <w:rFonts w:hint="eastAsia"/>
                      <w:color w:val="auto"/>
                      <w:lang w:val="en-US" w:eastAsia="zh-CN"/>
                    </w:rPr>
                    <w:t>56799m</w:t>
                  </w:r>
                  <w:r>
                    <w:rPr>
                      <w:rFonts w:hint="eastAsia"/>
                      <w:color w:val="auto"/>
                      <w:vertAlign w:val="superscript"/>
                      <w:lang w:val="en-US" w:eastAsia="zh-CN"/>
                    </w:rPr>
                    <w:t>3</w:t>
                  </w:r>
                  <w:r>
                    <w:rPr>
                      <w:rFonts w:hint="eastAsia"/>
                      <w:color w:val="auto"/>
                      <w:lang w:val="en-US" w:eastAsia="zh-CN"/>
                    </w:rPr>
                    <w:t>/a</w:t>
                  </w:r>
                </w:p>
              </w:tc>
              <w:tc>
                <w:tcPr>
                  <w:tcW w:w="1455" w:type="dxa"/>
                  <w:noWrap w:val="0"/>
                  <w:vAlign w:val="center"/>
                </w:tcPr>
                <w:p>
                  <w:pPr>
                    <w:pStyle w:val="32"/>
                    <w:bidi w:val="0"/>
                    <w:rPr>
                      <w:rFonts w:hint="default"/>
                      <w:color w:val="auto"/>
                      <w:lang w:val="en-US" w:eastAsia="zh-CN"/>
                    </w:rPr>
                  </w:pPr>
                  <w:r>
                    <w:rPr>
                      <w:rFonts w:hint="eastAsia"/>
                      <w:color w:val="auto"/>
                      <w:lang w:val="en-US" w:eastAsia="zh-CN"/>
                    </w:rPr>
                    <w:t>/</w:t>
                  </w:r>
                </w:p>
              </w:tc>
              <w:tc>
                <w:tcPr>
                  <w:tcW w:w="1380" w:type="dxa"/>
                  <w:noWrap w:val="0"/>
                  <w:vAlign w:val="center"/>
                </w:tcPr>
                <w:p>
                  <w:pPr>
                    <w:pStyle w:val="32"/>
                    <w:bidi w:val="0"/>
                    <w:rPr>
                      <w:rFonts w:hint="default"/>
                      <w:color w:val="auto"/>
                      <w:lang w:val="en-US" w:eastAsia="zh-CN"/>
                    </w:rPr>
                  </w:pPr>
                  <w:r>
                    <w:rPr>
                      <w:rFonts w:hint="eastAsia"/>
                      <w:color w:val="auto"/>
                      <w:lang w:val="en-US" w:eastAsia="zh-CN"/>
                    </w:rPr>
                    <w:t>/</w:t>
                  </w:r>
                </w:p>
              </w:tc>
              <w:tc>
                <w:tcPr>
                  <w:tcW w:w="1787" w:type="dxa"/>
                  <w:noWrap w:val="0"/>
                  <w:vAlign w:val="center"/>
                </w:tcPr>
                <w:p>
                  <w:pPr>
                    <w:pStyle w:val="32"/>
                    <w:bidi w:val="0"/>
                    <w:rPr>
                      <w:rFonts w:hint="eastAsia" w:ascii="Times New Roman" w:eastAsia="宋体"/>
                      <w:color w:val="auto"/>
                      <w:lang w:val="en-US" w:eastAsia="zh-CN"/>
                    </w:rPr>
                  </w:pPr>
                  <w:r>
                    <w:rPr>
                      <w:rFonts w:hint="eastAsia"/>
                      <w:color w:val="auto"/>
                      <w:lang w:val="en-US" w:eastAsia="zh-CN"/>
                    </w:rPr>
                    <w:t>使用自来水，生产用及锅炉纯水经纯水机制备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vAlign w:val="center"/>
                </w:tcPr>
                <w:p>
                  <w:pPr>
                    <w:pStyle w:val="32"/>
                    <w:bidi w:val="0"/>
                    <w:rPr>
                      <w:rFonts w:hint="default"/>
                      <w:color w:val="auto"/>
                      <w:lang w:val="en-US" w:eastAsia="zh-CN"/>
                    </w:rPr>
                  </w:pPr>
                  <w:r>
                    <w:rPr>
                      <w:rFonts w:hint="eastAsia"/>
                      <w:color w:val="auto"/>
                      <w:lang w:val="en-US" w:eastAsia="zh-CN"/>
                    </w:rPr>
                    <w:t>19</w:t>
                  </w:r>
                </w:p>
              </w:tc>
              <w:tc>
                <w:tcPr>
                  <w:tcW w:w="1182" w:type="dxa"/>
                  <w:vAlign w:val="center"/>
                </w:tcPr>
                <w:p>
                  <w:pPr>
                    <w:pStyle w:val="32"/>
                    <w:bidi w:val="0"/>
                    <w:rPr>
                      <w:rFonts w:hint="default"/>
                      <w:color w:val="auto"/>
                    </w:rPr>
                  </w:pPr>
                  <w:r>
                    <w:rPr>
                      <w:rFonts w:hint="eastAsia"/>
                      <w:color w:val="auto"/>
                      <w:lang w:val="en-US" w:eastAsia="zh-CN"/>
                    </w:rPr>
                    <w:t>电</w:t>
                  </w:r>
                </w:p>
              </w:tc>
              <w:tc>
                <w:tcPr>
                  <w:tcW w:w="1639" w:type="dxa"/>
                  <w:vAlign w:val="center"/>
                </w:tcPr>
                <w:p>
                  <w:pPr>
                    <w:pStyle w:val="32"/>
                    <w:bidi w:val="0"/>
                    <w:rPr>
                      <w:rFonts w:hint="eastAsia"/>
                      <w:color w:val="auto"/>
                      <w:lang w:val="en-US" w:eastAsia="zh-CN"/>
                    </w:rPr>
                  </w:pPr>
                  <w:r>
                    <w:rPr>
                      <w:rFonts w:hint="eastAsia"/>
                      <w:color w:val="auto"/>
                      <w:lang w:val="en-US" w:eastAsia="zh-CN"/>
                    </w:rPr>
                    <w:t>10万KWh</w:t>
                  </w:r>
                </w:p>
              </w:tc>
              <w:tc>
                <w:tcPr>
                  <w:tcW w:w="1455" w:type="dxa"/>
                  <w:vAlign w:val="center"/>
                </w:tcPr>
                <w:p>
                  <w:pPr>
                    <w:pStyle w:val="32"/>
                    <w:bidi w:val="0"/>
                    <w:rPr>
                      <w:rFonts w:hint="default"/>
                      <w:color w:val="auto"/>
                    </w:rPr>
                  </w:pPr>
                  <w:r>
                    <w:rPr>
                      <w:rFonts w:hint="eastAsia"/>
                      <w:color w:val="auto"/>
                      <w:lang w:val="en-US" w:eastAsia="zh-CN"/>
                    </w:rPr>
                    <w:t>/</w:t>
                  </w:r>
                </w:p>
              </w:tc>
              <w:tc>
                <w:tcPr>
                  <w:tcW w:w="1380" w:type="dxa"/>
                  <w:vAlign w:val="center"/>
                </w:tcPr>
                <w:p>
                  <w:pPr>
                    <w:pStyle w:val="32"/>
                    <w:bidi w:val="0"/>
                    <w:rPr>
                      <w:rFonts w:hint="eastAsia" w:eastAsia="宋体"/>
                      <w:color w:val="auto"/>
                      <w:lang w:val="en-US" w:eastAsia="zh-CN"/>
                    </w:rPr>
                  </w:pPr>
                  <w:r>
                    <w:rPr>
                      <w:rFonts w:hint="eastAsia"/>
                      <w:color w:val="auto"/>
                      <w:lang w:val="en-US" w:eastAsia="zh-CN"/>
                    </w:rPr>
                    <w:t>/</w:t>
                  </w:r>
                </w:p>
              </w:tc>
              <w:tc>
                <w:tcPr>
                  <w:tcW w:w="1787" w:type="dxa"/>
                  <w:vAlign w:val="center"/>
                </w:tcPr>
                <w:p>
                  <w:pPr>
                    <w:pStyle w:val="32"/>
                    <w:bidi w:val="0"/>
                    <w:rPr>
                      <w:rFonts w:hint="default"/>
                      <w:color w:val="auto"/>
                    </w:rPr>
                  </w:pPr>
                  <w:r>
                    <w:rPr>
                      <w:rFonts w:hint="default"/>
                      <w:color w:val="auto"/>
                    </w:rPr>
                    <w:t>当地电网接入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vAlign w:val="center"/>
                </w:tcPr>
                <w:p>
                  <w:pPr>
                    <w:pStyle w:val="32"/>
                    <w:bidi w:val="0"/>
                    <w:rPr>
                      <w:rFonts w:hint="default"/>
                      <w:color w:val="auto"/>
                      <w:lang w:val="en-US" w:eastAsia="zh-CN"/>
                    </w:rPr>
                  </w:pPr>
                  <w:r>
                    <w:rPr>
                      <w:rFonts w:hint="eastAsia"/>
                      <w:color w:val="auto"/>
                      <w:lang w:val="en-US" w:eastAsia="zh-CN"/>
                    </w:rPr>
                    <w:t>20</w:t>
                  </w:r>
                </w:p>
              </w:tc>
              <w:tc>
                <w:tcPr>
                  <w:tcW w:w="1182" w:type="dxa"/>
                  <w:vAlign w:val="center"/>
                </w:tcPr>
                <w:p>
                  <w:pPr>
                    <w:pStyle w:val="32"/>
                    <w:bidi w:val="0"/>
                    <w:rPr>
                      <w:rFonts w:hint="default"/>
                      <w:color w:val="auto"/>
                      <w:lang w:val="en-US" w:eastAsia="zh-CN"/>
                    </w:rPr>
                  </w:pPr>
                  <w:r>
                    <w:rPr>
                      <w:rFonts w:hint="eastAsia"/>
                      <w:color w:val="auto"/>
                      <w:lang w:val="en-US" w:eastAsia="zh-CN"/>
                    </w:rPr>
                    <w:t>天然气</w:t>
                  </w:r>
                </w:p>
              </w:tc>
              <w:tc>
                <w:tcPr>
                  <w:tcW w:w="1639" w:type="dxa"/>
                  <w:vAlign w:val="center"/>
                </w:tcPr>
                <w:p>
                  <w:pPr>
                    <w:pStyle w:val="32"/>
                    <w:bidi w:val="0"/>
                    <w:rPr>
                      <w:rFonts w:hint="default"/>
                      <w:color w:val="auto"/>
                      <w:lang w:val="en-US" w:eastAsia="zh-CN"/>
                    </w:rPr>
                  </w:pPr>
                  <w:r>
                    <w:rPr>
                      <w:rFonts w:hint="eastAsia"/>
                      <w:color w:val="auto"/>
                      <w:lang w:val="en-US" w:eastAsia="zh-CN"/>
                    </w:rPr>
                    <w:t>67.1</w:t>
                  </w:r>
                  <w:r>
                    <w:rPr>
                      <w:rFonts w:hint="eastAsia" w:ascii="Times New Roman" w:eastAsia="宋体"/>
                      <w:color w:val="auto"/>
                      <w:lang w:val="en-US" w:eastAsia="zh-CN"/>
                    </w:rPr>
                    <w:t>万</w:t>
                  </w:r>
                  <w:r>
                    <w:rPr>
                      <w:rFonts w:hint="eastAsia"/>
                      <w:color w:val="auto"/>
                      <w:lang w:val="en-US" w:eastAsia="zh-CN"/>
                    </w:rPr>
                    <w:t>m</w:t>
                  </w:r>
                  <w:r>
                    <w:rPr>
                      <w:rFonts w:hint="eastAsia"/>
                      <w:color w:val="auto"/>
                      <w:vertAlign w:val="superscript"/>
                      <w:lang w:val="en-US" w:eastAsia="zh-CN"/>
                    </w:rPr>
                    <w:t>3</w:t>
                  </w:r>
                </w:p>
              </w:tc>
              <w:tc>
                <w:tcPr>
                  <w:tcW w:w="1455" w:type="dxa"/>
                  <w:vAlign w:val="center"/>
                </w:tcPr>
                <w:p>
                  <w:pPr>
                    <w:pStyle w:val="32"/>
                    <w:bidi w:val="0"/>
                    <w:rPr>
                      <w:rFonts w:hint="eastAsia"/>
                      <w:color w:val="auto"/>
                      <w:lang w:val="en-US" w:eastAsia="zh-CN"/>
                    </w:rPr>
                  </w:pPr>
                  <w:r>
                    <w:rPr>
                      <w:rFonts w:hint="eastAsia"/>
                      <w:color w:val="auto"/>
                      <w:lang w:val="en-US" w:eastAsia="zh-CN"/>
                    </w:rPr>
                    <w:t>/</w:t>
                  </w:r>
                </w:p>
              </w:tc>
              <w:tc>
                <w:tcPr>
                  <w:tcW w:w="1380" w:type="dxa"/>
                  <w:vAlign w:val="center"/>
                </w:tcPr>
                <w:p>
                  <w:pPr>
                    <w:pStyle w:val="32"/>
                    <w:bidi w:val="0"/>
                    <w:rPr>
                      <w:rFonts w:hint="eastAsia" w:eastAsia="宋体"/>
                      <w:color w:val="auto"/>
                      <w:lang w:val="en-US" w:eastAsia="zh-CN"/>
                    </w:rPr>
                  </w:pPr>
                  <w:r>
                    <w:rPr>
                      <w:rFonts w:hint="eastAsia"/>
                      <w:color w:val="auto"/>
                      <w:lang w:val="en-US" w:eastAsia="zh-CN"/>
                    </w:rPr>
                    <w:t>/</w:t>
                  </w:r>
                </w:p>
              </w:tc>
              <w:tc>
                <w:tcPr>
                  <w:tcW w:w="1787" w:type="dxa"/>
                  <w:vAlign w:val="center"/>
                </w:tcPr>
                <w:p>
                  <w:pPr>
                    <w:pStyle w:val="32"/>
                    <w:bidi w:val="0"/>
                    <w:rPr>
                      <w:rFonts w:hint="default"/>
                      <w:color w:val="auto"/>
                      <w:lang w:val="en-US" w:eastAsia="zh-CN"/>
                    </w:rPr>
                  </w:pPr>
                  <w:r>
                    <w:rPr>
                      <w:rFonts w:hint="eastAsia"/>
                      <w:color w:val="auto"/>
                      <w:lang w:val="en-US" w:eastAsia="zh-CN"/>
                    </w:rPr>
                    <w:t>接入市政燃气</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ascii="Times New Roman" w:eastAsia="宋体"/>
                <w:color w:val="auto"/>
                <w:lang w:val="en-US" w:eastAsia="zh-CN"/>
              </w:rPr>
              <w:t>项目所需蔬菜由签订种植协议的合作社提供，进厂前不符合进厂要求的蔬菜退回处置，进厂蔬菜已经去根，并去除绝大部分泥土。</w:t>
            </w:r>
          </w:p>
          <w:p>
            <w:pPr>
              <w:spacing w:before="20" w:line="360" w:lineRule="auto"/>
              <w:ind w:firstLine="480" w:firstLineChars="200"/>
              <w:rPr>
                <w:rFonts w:hint="default" w:ascii="Times New Roman" w:hAnsi="Times New Roman" w:eastAsia="宋体" w:cs="Times New Roman"/>
                <w:color w:val="auto"/>
                <w:highlight w:val="yellow"/>
                <w:lang w:val="en-US" w:eastAsia="zh-CN"/>
              </w:rPr>
            </w:pPr>
            <w:r>
              <w:rPr>
                <w:rFonts w:hint="default" w:ascii="Times New Roman" w:hAnsi="Times New Roman" w:eastAsia="宋体" w:cs="Times New Roman"/>
                <w:color w:val="auto"/>
              </w:rPr>
              <w:t>本项目使用天然气符合《天然气》（GB17820-2012）II类技术指标，根据中国科学院与地球物理研究所兰州油气资源研究中心地球化学测试部于2018年11月12日对天然气监测并出具的检测报告（兰地化测字D03第073号</w:t>
            </w:r>
            <w:r>
              <w:rPr>
                <w:rFonts w:hint="default" w:ascii="Times New Roman" w:hAnsi="Times New Roman" w:eastAsia="宋体" w:cs="Times New Roman"/>
                <w:color w:val="auto"/>
                <w:highlight w:val="none"/>
              </w:rPr>
              <w:t>），其性质和组分见表2-</w:t>
            </w:r>
            <w:r>
              <w:rPr>
                <w:rFonts w:hint="eastAsia" w:cs="Times New Roman"/>
                <w:color w:val="auto"/>
                <w:highlight w:val="none"/>
                <w:lang w:val="en-US" w:eastAsia="zh-CN"/>
              </w:rPr>
              <w:t>7</w:t>
            </w:r>
            <w:r>
              <w:rPr>
                <w:rFonts w:hint="eastAsia" w:ascii="Times New Roman" w:hAnsi="Times New Roman" w:eastAsia="宋体" w:cs="Times New Roman"/>
                <w:color w:val="auto"/>
                <w:highlight w:val="none"/>
                <w:lang w:val="en-US" w:eastAsia="zh-CN"/>
              </w:rPr>
              <w:t>、表2-</w:t>
            </w:r>
            <w:r>
              <w:rPr>
                <w:rFonts w:hint="eastAsia" w:cs="Times New Roman"/>
                <w:color w:val="auto"/>
                <w:highlight w:val="none"/>
                <w:lang w:val="en-US" w:eastAsia="zh-CN"/>
              </w:rPr>
              <w:t>8，检测报告见附件8。</w:t>
            </w:r>
          </w:p>
          <w:p>
            <w:pPr>
              <w:bidi w:val="0"/>
              <w:jc w:val="center"/>
              <w:rPr>
                <w:rFonts w:hint="default"/>
                <w:b/>
                <w:bCs/>
                <w:color w:val="auto"/>
                <w:lang w:val="en-US" w:eastAsia="zh-CN"/>
              </w:rPr>
            </w:pPr>
            <w:r>
              <w:rPr>
                <w:rFonts w:hint="eastAsia"/>
                <w:b/>
                <w:bCs/>
                <w:color w:val="auto"/>
                <w:lang w:val="en-US" w:eastAsia="zh-CN"/>
              </w:rPr>
              <w:t>表2-7  天然气性质一览表</w:t>
            </w:r>
          </w:p>
          <w:tbl>
            <w:tblPr>
              <w:tblStyle w:val="25"/>
              <w:tblW w:w="7945" w:type="dxa"/>
              <w:tblInd w:w="1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8"/>
              <w:gridCol w:w="2648"/>
              <w:gridCol w:w="26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eastAsia"/>
                      <w:color w:val="auto"/>
                      <w:lang w:val="en-US" w:eastAsia="zh-CN"/>
                    </w:rPr>
                  </w:pPr>
                  <w:r>
                    <w:rPr>
                      <w:rFonts w:hint="eastAsia"/>
                      <w:color w:val="auto"/>
                      <w:lang w:val="en-US" w:eastAsia="zh-CN"/>
                    </w:rPr>
                    <w:t>序号</w:t>
                  </w:r>
                </w:p>
              </w:tc>
              <w:tc>
                <w:tcPr>
                  <w:tcW w:w="2648" w:type="dxa"/>
                  <w:tcBorders>
                    <w:tl2br w:val="nil"/>
                    <w:tr2bl w:val="nil"/>
                  </w:tcBorders>
                </w:tcPr>
                <w:p>
                  <w:pPr>
                    <w:pStyle w:val="32"/>
                    <w:bidi w:val="0"/>
                    <w:spacing w:line="240" w:lineRule="auto"/>
                    <w:rPr>
                      <w:rFonts w:hint="eastAsia"/>
                      <w:color w:val="auto"/>
                      <w:lang w:val="en-US" w:eastAsia="zh-CN"/>
                    </w:rPr>
                  </w:pPr>
                  <w:r>
                    <w:rPr>
                      <w:rFonts w:hint="eastAsia"/>
                      <w:color w:val="auto"/>
                      <w:lang w:val="en-US" w:eastAsia="zh-CN"/>
                    </w:rPr>
                    <w:t>项目</w:t>
                  </w:r>
                </w:p>
              </w:tc>
              <w:tc>
                <w:tcPr>
                  <w:tcW w:w="2649" w:type="dxa"/>
                  <w:tcBorders>
                    <w:tl2br w:val="nil"/>
                    <w:tr2bl w:val="nil"/>
                  </w:tcBorders>
                </w:tcPr>
                <w:p>
                  <w:pPr>
                    <w:pStyle w:val="32"/>
                    <w:bidi w:val="0"/>
                    <w:spacing w:line="240" w:lineRule="auto"/>
                    <w:rPr>
                      <w:rFonts w:hint="eastAsia"/>
                      <w:color w:val="auto"/>
                      <w:lang w:val="en-US" w:eastAsia="zh-CN"/>
                    </w:rPr>
                  </w:pPr>
                  <w:r>
                    <w:rPr>
                      <w:rFonts w:hint="eastAsia"/>
                      <w:color w:val="auto"/>
                      <w:lang w:val="en-US" w:eastAsia="zh-CN"/>
                    </w:rPr>
                    <w:t>数值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eastAsia"/>
                      <w:color w:val="auto"/>
                      <w:lang w:val="en-US" w:eastAsia="zh-CN"/>
                    </w:rPr>
                  </w:pPr>
                  <w:r>
                    <w:rPr>
                      <w:rFonts w:hint="eastAsia"/>
                      <w:color w:val="auto"/>
                      <w:lang w:val="en-US" w:eastAsia="zh-CN"/>
                    </w:rPr>
                    <w:t>1</w:t>
                  </w:r>
                </w:p>
              </w:tc>
              <w:tc>
                <w:tcPr>
                  <w:tcW w:w="2648" w:type="dxa"/>
                  <w:tcBorders>
                    <w:tl2br w:val="nil"/>
                    <w:tr2bl w:val="nil"/>
                  </w:tcBorders>
                </w:tcPr>
                <w:p>
                  <w:pPr>
                    <w:pStyle w:val="32"/>
                    <w:bidi w:val="0"/>
                    <w:spacing w:line="240" w:lineRule="auto"/>
                    <w:rPr>
                      <w:rFonts w:hint="eastAsia"/>
                      <w:color w:val="auto"/>
                      <w:lang w:val="en-US" w:eastAsia="zh-CN"/>
                    </w:rPr>
                  </w:pPr>
                  <w:r>
                    <w:rPr>
                      <w:rFonts w:hint="eastAsia"/>
                      <w:color w:val="auto"/>
                      <w:lang w:val="en-US" w:eastAsia="zh-CN"/>
                    </w:rPr>
                    <w:t>低热值</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49.37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eastAsia"/>
                      <w:color w:val="auto"/>
                      <w:lang w:val="en-US" w:eastAsia="zh-CN"/>
                    </w:rPr>
                  </w:pPr>
                  <w:r>
                    <w:rPr>
                      <w:rFonts w:hint="eastAsia"/>
                      <w:color w:val="auto"/>
                      <w:lang w:val="en-US" w:eastAsia="zh-CN"/>
                    </w:rPr>
                    <w:t>2</w:t>
                  </w:r>
                </w:p>
              </w:tc>
              <w:tc>
                <w:tcPr>
                  <w:tcW w:w="2648" w:type="dxa"/>
                  <w:tcBorders>
                    <w:tl2br w:val="nil"/>
                    <w:tr2bl w:val="nil"/>
                  </w:tcBorders>
                </w:tcPr>
                <w:p>
                  <w:pPr>
                    <w:pStyle w:val="32"/>
                    <w:bidi w:val="0"/>
                    <w:spacing w:line="240" w:lineRule="auto"/>
                    <w:rPr>
                      <w:rFonts w:hint="eastAsia"/>
                      <w:color w:val="auto"/>
                      <w:lang w:val="en-US" w:eastAsia="zh-CN"/>
                    </w:rPr>
                  </w:pPr>
                  <w:r>
                    <w:rPr>
                      <w:rFonts w:hint="eastAsia"/>
                      <w:color w:val="auto"/>
                      <w:lang w:val="en-US" w:eastAsia="zh-CN"/>
                    </w:rPr>
                    <w:t>高热值</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54.79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eastAsia"/>
                      <w:color w:val="auto"/>
                      <w:lang w:val="en-US" w:eastAsia="zh-CN"/>
                    </w:rPr>
                  </w:pPr>
                  <w:r>
                    <w:rPr>
                      <w:rFonts w:hint="eastAsia"/>
                      <w:color w:val="auto"/>
                      <w:lang w:val="en-US" w:eastAsia="zh-CN"/>
                    </w:rPr>
                    <w:t>3</w:t>
                  </w:r>
                </w:p>
              </w:tc>
              <w:tc>
                <w:tcPr>
                  <w:tcW w:w="2648" w:type="dxa"/>
                  <w:tcBorders>
                    <w:tl2br w:val="nil"/>
                    <w:tr2bl w:val="nil"/>
                  </w:tcBorders>
                </w:tcPr>
                <w:p>
                  <w:pPr>
                    <w:pStyle w:val="32"/>
                    <w:bidi w:val="0"/>
                    <w:spacing w:line="240" w:lineRule="auto"/>
                    <w:rPr>
                      <w:rFonts w:hint="eastAsia"/>
                      <w:color w:val="auto"/>
                      <w:lang w:val="en-US" w:eastAsia="zh-CN"/>
                    </w:rPr>
                  </w:pPr>
                  <w:r>
                    <w:rPr>
                      <w:rFonts w:hint="eastAsia"/>
                      <w:color w:val="auto"/>
                      <w:lang w:val="en-US" w:eastAsia="zh-CN"/>
                    </w:rPr>
                    <w:t>气体密度</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0.6868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eastAsia"/>
                      <w:color w:val="auto"/>
                      <w:lang w:val="en-US" w:eastAsia="zh-CN"/>
                    </w:rPr>
                  </w:pPr>
                  <w:r>
                    <w:rPr>
                      <w:rFonts w:hint="eastAsia"/>
                      <w:color w:val="auto"/>
                      <w:lang w:val="en-US" w:eastAsia="zh-CN"/>
                    </w:rPr>
                    <w:t>4</w:t>
                  </w:r>
                </w:p>
              </w:tc>
              <w:tc>
                <w:tcPr>
                  <w:tcW w:w="2648" w:type="dxa"/>
                  <w:tcBorders>
                    <w:tl2br w:val="nil"/>
                    <w:tr2bl w:val="nil"/>
                  </w:tcBorders>
                  <w:vAlign w:val="top"/>
                </w:tcPr>
                <w:p>
                  <w:pPr>
                    <w:pStyle w:val="32"/>
                    <w:bidi w:val="0"/>
                    <w:spacing w:line="240" w:lineRule="auto"/>
                    <w:rPr>
                      <w:rFonts w:hint="eastAsia"/>
                      <w:color w:val="auto"/>
                      <w:lang w:val="en-US" w:eastAsia="zh-CN"/>
                    </w:rPr>
                  </w:pPr>
                  <w:r>
                    <w:rPr>
                      <w:rFonts w:hint="eastAsia"/>
                      <w:color w:val="auto"/>
                      <w:lang w:val="en-US" w:eastAsia="zh-CN"/>
                    </w:rPr>
                    <w:t>总硫</w:t>
                  </w:r>
                </w:p>
              </w:tc>
              <w:tc>
                <w:tcPr>
                  <w:tcW w:w="2649" w:type="dxa"/>
                  <w:tcBorders>
                    <w:tl2br w:val="nil"/>
                    <w:tr2bl w:val="nil"/>
                  </w:tcBorders>
                  <w:vAlign w:val="top"/>
                </w:tcPr>
                <w:p>
                  <w:pPr>
                    <w:pStyle w:val="32"/>
                    <w:bidi w:val="0"/>
                    <w:spacing w:line="240" w:lineRule="auto"/>
                    <w:rPr>
                      <w:rFonts w:hint="default"/>
                      <w:color w:val="auto"/>
                      <w:lang w:val="en-US" w:eastAsia="zh-CN"/>
                    </w:rPr>
                  </w:pPr>
                  <w:r>
                    <w:rPr>
                      <w:rFonts w:hint="eastAsia"/>
                      <w:color w:val="auto"/>
                      <w:lang w:val="en-US" w:eastAsia="zh-CN"/>
                    </w:rPr>
                    <w:t>＜100</w:t>
                  </w:r>
                </w:p>
              </w:tc>
            </w:tr>
          </w:tbl>
          <w:p>
            <w:pPr>
              <w:spacing w:before="20" w:line="360" w:lineRule="auto"/>
              <w:jc w:val="cente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表2-</w:t>
            </w:r>
            <w:r>
              <w:rPr>
                <w:rFonts w:hint="eastAsia" w:cs="Times New Roman"/>
                <w:b/>
                <w:bCs/>
                <w:color w:val="auto"/>
                <w:sz w:val="24"/>
                <w:szCs w:val="24"/>
                <w:lang w:val="en-US" w:eastAsia="zh-CN"/>
              </w:rPr>
              <w:t>8</w:t>
            </w:r>
            <w:r>
              <w:rPr>
                <w:rFonts w:hint="eastAsia" w:ascii="Times New Roman" w:hAnsi="Times New Roman" w:eastAsia="宋体" w:cs="Times New Roman"/>
                <w:b/>
                <w:bCs/>
                <w:color w:val="auto"/>
                <w:sz w:val="24"/>
                <w:szCs w:val="24"/>
                <w:lang w:val="en-US" w:eastAsia="zh-CN"/>
              </w:rPr>
              <w:t xml:space="preserve">  天然气组分一览表</w:t>
            </w:r>
          </w:p>
          <w:tbl>
            <w:tblPr>
              <w:tblStyle w:val="25"/>
              <w:tblW w:w="7945"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8"/>
              <w:gridCol w:w="2648"/>
              <w:gridCol w:w="26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项目</w:t>
                  </w:r>
                </w:p>
              </w:tc>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组分</w:t>
                  </w:r>
                </w:p>
              </w:tc>
              <w:tc>
                <w:tcPr>
                  <w:tcW w:w="2649" w:type="dxa"/>
                  <w:tcBorders>
                    <w:tl2br w:val="nil"/>
                    <w:tr2bl w:val="nil"/>
                  </w:tcBorders>
                </w:tcPr>
                <w:p>
                  <w:pPr>
                    <w:pStyle w:val="32"/>
                    <w:bidi w:val="0"/>
                    <w:spacing w:line="240" w:lineRule="auto"/>
                    <w:rPr>
                      <w:rFonts w:hint="default"/>
                      <w:color w:val="auto"/>
                      <w:lang w:val="en-US" w:eastAsia="zh-CN"/>
                    </w:rPr>
                  </w:pPr>
                  <w:r>
                    <w:rPr>
                      <w:rFonts w:hint="default"/>
                      <w:color w:val="auto"/>
                      <w:lang w:val="en-US" w:eastAsia="zh-CN"/>
                    </w:rPr>
                    <w:t>Mol%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1</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氢气</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2</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氦气</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3</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氮气</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0.33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4</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氧气</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5</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硫化氢</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6</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二氧化碳</w:t>
                  </w:r>
                </w:p>
              </w:tc>
              <w:tc>
                <w:tcPr>
                  <w:tcW w:w="2649" w:type="dxa"/>
                  <w:tcBorders>
                    <w:tl2br w:val="nil"/>
                    <w:tr2bl w:val="nil"/>
                  </w:tcBorders>
                  <w:vAlign w:val="top"/>
                </w:tcPr>
                <w:p>
                  <w:pPr>
                    <w:pStyle w:val="32"/>
                    <w:bidi w:val="0"/>
                    <w:spacing w:line="240" w:lineRule="auto"/>
                    <w:rPr>
                      <w:rFonts w:hint="default"/>
                      <w:color w:val="auto"/>
                      <w:lang w:val="en-US" w:eastAsia="zh-CN"/>
                    </w:rPr>
                  </w:pPr>
                  <w:r>
                    <w:rPr>
                      <w:rFonts w:hint="eastAsia"/>
                      <w:color w:val="auto"/>
                      <w:lang w:val="en-US" w:eastAsia="zh-CN"/>
                    </w:rPr>
                    <w:t>0.18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7</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二氧化硫</w:t>
                  </w:r>
                </w:p>
              </w:tc>
              <w:tc>
                <w:tcPr>
                  <w:tcW w:w="2649" w:type="dxa"/>
                  <w:tcBorders>
                    <w:tl2br w:val="nil"/>
                    <w:tr2bl w:val="nil"/>
                  </w:tcBorders>
                  <w:vAlign w:val="top"/>
                </w:tcPr>
                <w:p>
                  <w:pPr>
                    <w:pStyle w:val="32"/>
                    <w:bidi w:val="0"/>
                    <w:spacing w:line="240" w:lineRule="auto"/>
                    <w:rPr>
                      <w:rFonts w:hint="default"/>
                      <w:color w:val="auto"/>
                      <w:lang w:val="en-US" w:eastAsia="zh-CN"/>
                    </w:rPr>
                  </w:pPr>
                  <w:r>
                    <w:rPr>
                      <w:rFonts w:hint="eastAsia"/>
                      <w:color w:val="auto"/>
                      <w:lang w:val="en-US" w:eastAsia="zh-CN"/>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8</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甲烷</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98.93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9</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乙烷</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0.46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10</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丙烷</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0.084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11</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异丁烷</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0.00082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12</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正丁烷</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0.011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13</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新戊烷</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14</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异戊烷</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0.0038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15</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正戊烷</w:t>
                  </w:r>
                </w:p>
              </w:tc>
              <w:tc>
                <w:tcPr>
                  <w:tcW w:w="2649"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0.0031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16</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己烷</w:t>
                  </w:r>
                </w:p>
              </w:tc>
              <w:tc>
                <w:tcPr>
                  <w:tcW w:w="2649" w:type="dxa"/>
                  <w:tcBorders>
                    <w:tl2br w:val="nil"/>
                    <w:tr2bl w:val="nil"/>
                  </w:tcBorders>
                  <w:vAlign w:val="top"/>
                </w:tcPr>
                <w:p>
                  <w:pPr>
                    <w:pStyle w:val="32"/>
                    <w:bidi w:val="0"/>
                    <w:spacing w:line="240" w:lineRule="auto"/>
                    <w:rPr>
                      <w:rFonts w:hint="default"/>
                      <w:color w:val="auto"/>
                      <w:lang w:val="en-US" w:eastAsia="zh-CN"/>
                    </w:rPr>
                  </w:pPr>
                  <w:r>
                    <w:rPr>
                      <w:rFonts w:hint="eastAsia"/>
                      <w:color w:val="auto"/>
                      <w:lang w:val="en-US" w:eastAsia="zh-CN"/>
                    </w:rPr>
                    <w:t>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648" w:type="dxa"/>
                  <w:tcBorders>
                    <w:tl2br w:val="nil"/>
                    <w:tr2bl w:val="nil"/>
                  </w:tcBorders>
                </w:tcPr>
                <w:p>
                  <w:pPr>
                    <w:pStyle w:val="32"/>
                    <w:bidi w:val="0"/>
                    <w:spacing w:line="240" w:lineRule="auto"/>
                    <w:rPr>
                      <w:rFonts w:hint="default"/>
                      <w:color w:val="auto"/>
                      <w:lang w:val="en-US" w:eastAsia="zh-CN"/>
                    </w:rPr>
                  </w:pPr>
                  <w:r>
                    <w:rPr>
                      <w:rFonts w:hint="eastAsia"/>
                      <w:color w:val="auto"/>
                      <w:lang w:val="en-US" w:eastAsia="zh-CN"/>
                    </w:rPr>
                    <w:t>17</w:t>
                  </w:r>
                </w:p>
              </w:tc>
              <w:tc>
                <w:tcPr>
                  <w:tcW w:w="2648" w:type="dxa"/>
                  <w:tcBorders>
                    <w:tl2br w:val="nil"/>
                    <w:tr2bl w:val="nil"/>
                  </w:tcBorders>
                  <w:vAlign w:val="top"/>
                </w:tcPr>
                <w:p>
                  <w:pPr>
                    <w:pStyle w:val="32"/>
                    <w:bidi w:val="0"/>
                    <w:spacing w:line="240" w:lineRule="auto"/>
                    <w:rPr>
                      <w:rFonts w:hint="default"/>
                      <w:color w:val="auto"/>
                      <w:lang w:val="en-US" w:eastAsia="zh-CN"/>
                    </w:rPr>
                  </w:pPr>
                  <w:r>
                    <w:rPr>
                      <w:rFonts w:hint="default"/>
                      <w:color w:val="auto"/>
                      <w:lang w:val="en-US" w:eastAsia="zh-CN"/>
                    </w:rPr>
                    <w:t>环己烷</w:t>
                  </w:r>
                </w:p>
              </w:tc>
              <w:tc>
                <w:tcPr>
                  <w:tcW w:w="2649" w:type="dxa"/>
                  <w:tcBorders>
                    <w:tl2br w:val="nil"/>
                    <w:tr2bl w:val="nil"/>
                  </w:tcBorders>
                  <w:vAlign w:val="top"/>
                </w:tcPr>
                <w:p>
                  <w:pPr>
                    <w:pStyle w:val="32"/>
                    <w:bidi w:val="0"/>
                    <w:spacing w:line="240" w:lineRule="auto"/>
                    <w:rPr>
                      <w:rFonts w:hint="default"/>
                      <w:color w:val="auto"/>
                      <w:lang w:val="en-US" w:eastAsia="zh-CN"/>
                    </w:rPr>
                  </w:pPr>
                  <w:r>
                    <w:rPr>
                      <w:rFonts w:hint="eastAsia"/>
                      <w:color w:val="auto"/>
                      <w:lang w:val="en-US" w:eastAsia="zh-CN"/>
                    </w:rPr>
                    <w:t>0.00</w:t>
                  </w:r>
                </w:p>
              </w:tc>
            </w:tr>
          </w:tbl>
          <w:p>
            <w:pPr>
              <w:spacing w:before="20" w:line="360" w:lineRule="auto"/>
              <w:ind w:firstLine="480" w:firstLineChars="200"/>
              <w:rPr>
                <w:rFonts w:hint="eastAsia"/>
                <w:color w:val="auto"/>
              </w:rPr>
            </w:pPr>
            <w:r>
              <w:rPr>
                <w:rFonts w:hint="default"/>
                <w:color w:val="auto"/>
              </w:rPr>
              <w:t>由该检测报告可知，天然气低位发热值为49.37MJ/kg，密度为0.6868kg/m</w:t>
            </w:r>
            <w:r>
              <w:rPr>
                <w:rFonts w:hint="eastAsia"/>
                <w:color w:val="auto"/>
                <w:vertAlign w:val="superscript"/>
                <w:lang w:val="en-US" w:eastAsia="zh-CN"/>
              </w:rPr>
              <w:t>3</w:t>
            </w:r>
            <w:r>
              <w:rPr>
                <w:rFonts w:hint="default"/>
                <w:color w:val="auto"/>
              </w:rPr>
              <w:t>，即天然气低位发热值为49.37MJ/kg×0.6868kg/m³=33.91MJ/m</w:t>
            </w:r>
            <w:r>
              <w:rPr>
                <w:rFonts w:hint="default"/>
                <w:color w:val="auto"/>
                <w:vertAlign w:val="superscript"/>
              </w:rPr>
              <w:t>3</w:t>
            </w:r>
            <w:r>
              <w:rPr>
                <w:rFonts w:hint="default"/>
                <w:color w:val="auto"/>
              </w:rPr>
              <w:t>。项目</w:t>
            </w:r>
            <w:r>
              <w:rPr>
                <w:rFonts w:hint="eastAsia"/>
                <w:color w:val="auto"/>
                <w:lang w:val="en-US" w:eastAsia="zh-CN"/>
              </w:rPr>
              <w:t>锅炉</w:t>
            </w:r>
            <w:r>
              <w:rPr>
                <w:rFonts w:hint="default"/>
                <w:color w:val="auto"/>
              </w:rPr>
              <w:t>最大负荷为</w:t>
            </w:r>
            <w:r>
              <w:rPr>
                <w:rFonts w:hint="eastAsia"/>
                <w:color w:val="auto"/>
                <w:lang w:val="en-US" w:eastAsia="zh-CN"/>
              </w:rPr>
              <w:t>2.1</w:t>
            </w:r>
            <w:r>
              <w:rPr>
                <w:rFonts w:hint="default"/>
                <w:color w:val="auto"/>
              </w:rPr>
              <w:t>MW，则项目每小时耗气量为</w:t>
            </w:r>
            <w:r>
              <w:rPr>
                <w:rFonts w:hint="eastAsia"/>
                <w:color w:val="auto"/>
                <w:lang w:val="en-US" w:eastAsia="zh-CN"/>
              </w:rPr>
              <w:t>2.1</w:t>
            </w:r>
            <w:r>
              <w:rPr>
                <w:rFonts w:hint="default"/>
                <w:color w:val="auto"/>
              </w:rPr>
              <w:t>MW×3600</w:t>
            </w:r>
            <w:r>
              <w:rPr>
                <w:rFonts w:hint="eastAsia"/>
                <w:color w:val="auto"/>
                <w:lang w:val="en-US" w:eastAsia="zh-CN"/>
              </w:rPr>
              <w:t>S</w:t>
            </w:r>
            <w:r>
              <w:rPr>
                <w:rFonts w:hint="default"/>
                <w:color w:val="auto"/>
              </w:rPr>
              <w:t>÷（94.8%×33.91MJ/m</w:t>
            </w:r>
            <w:r>
              <w:rPr>
                <w:rFonts w:hint="default"/>
                <w:color w:val="auto"/>
                <w:vertAlign w:val="superscript"/>
              </w:rPr>
              <w:t>3</w:t>
            </w:r>
            <w:r>
              <w:rPr>
                <w:rFonts w:hint="default"/>
                <w:color w:val="auto"/>
              </w:rPr>
              <w:t>）=</w:t>
            </w:r>
            <w:r>
              <w:rPr>
                <w:rFonts w:hint="eastAsia"/>
                <w:color w:val="auto"/>
                <w:lang w:val="en-US" w:eastAsia="zh-CN"/>
              </w:rPr>
              <w:t>235</w:t>
            </w:r>
            <w:r>
              <w:rPr>
                <w:rFonts w:hint="default"/>
                <w:color w:val="auto"/>
              </w:rPr>
              <w:t>m</w:t>
            </w:r>
            <w:r>
              <w:rPr>
                <w:rFonts w:hint="eastAsia" w:ascii="Times New Roman" w:eastAsia="宋体"/>
                <w:color w:val="auto"/>
                <w:vertAlign w:val="superscript"/>
                <w:lang w:val="en-US" w:eastAsia="zh-CN"/>
              </w:rPr>
              <w:t>3</w:t>
            </w:r>
            <w:r>
              <w:rPr>
                <w:rFonts w:hint="default"/>
                <w:color w:val="auto"/>
              </w:rPr>
              <w:t>/h，即年天然气用量为</w:t>
            </w:r>
            <w:r>
              <w:rPr>
                <w:rFonts w:hint="eastAsia"/>
                <w:color w:val="auto"/>
                <w:lang w:val="en-US" w:eastAsia="zh-CN"/>
              </w:rPr>
              <w:t>67.1</w:t>
            </w:r>
            <w:r>
              <w:rPr>
                <w:rFonts w:hint="default"/>
                <w:color w:val="auto"/>
              </w:rPr>
              <w:t>万m</w:t>
            </w:r>
            <w:r>
              <w:rPr>
                <w:rFonts w:hint="eastAsia" w:ascii="Times New Roman" w:eastAsia="宋体"/>
                <w:color w:val="auto"/>
                <w:vertAlign w:val="superscript"/>
                <w:lang w:val="en-US" w:eastAsia="zh-CN"/>
              </w:rPr>
              <w:t>3</w:t>
            </w:r>
            <w:r>
              <w:rPr>
                <w:rFonts w:hint="default"/>
                <w:color w:val="auto"/>
              </w:rPr>
              <w:t>。</w:t>
            </w:r>
          </w:p>
          <w:p>
            <w:pPr>
              <w:spacing w:before="20" w:line="360" w:lineRule="auto"/>
              <w:ind w:firstLine="480" w:firstLineChars="200"/>
              <w:rPr>
                <w:color w:val="auto"/>
              </w:rPr>
            </w:pPr>
            <w:r>
              <w:rPr>
                <w:rFonts w:hint="eastAsia"/>
                <w:color w:val="auto"/>
              </w:rPr>
              <w:t>项目物料平衡见下表2-</w:t>
            </w:r>
            <w:r>
              <w:rPr>
                <w:rFonts w:hint="eastAsia"/>
                <w:color w:val="auto"/>
                <w:lang w:val="en-US" w:eastAsia="zh-CN"/>
              </w:rPr>
              <w:t>9</w:t>
            </w:r>
            <w:r>
              <w:rPr>
                <w:rFonts w:hint="eastAsia"/>
                <w:color w:val="auto"/>
              </w:rPr>
              <w:t>。</w:t>
            </w:r>
          </w:p>
          <w:p>
            <w:pPr>
              <w:widowControl/>
              <w:snapToGrid w:val="0"/>
              <w:spacing w:before="0" w:after="0" w:line="360" w:lineRule="auto"/>
              <w:ind w:right="0"/>
              <w:jc w:val="center"/>
              <w:rPr>
                <w:rFonts w:hint="default"/>
                <w:b/>
                <w:bCs/>
                <w:color w:val="auto"/>
                <w:lang w:val="en-US" w:eastAsia="zh-CN"/>
              </w:rPr>
            </w:pPr>
            <w:r>
              <w:rPr>
                <w:rFonts w:hint="eastAsia"/>
                <w:b/>
                <w:bCs/>
                <w:color w:val="auto"/>
                <w:lang w:val="en-US" w:eastAsia="zh-CN"/>
              </w:rPr>
              <w:t>表2-9  全厂物料平衡表     单位：t/a</w:t>
            </w:r>
          </w:p>
          <w:tbl>
            <w:tblPr>
              <w:tblStyle w:val="24"/>
              <w:tblW w:w="794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979"/>
              <w:gridCol w:w="861"/>
              <w:gridCol w:w="1927"/>
              <w:gridCol w:w="15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68" w:type="dxa"/>
                  <w:gridSpan w:val="2"/>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投入</w:t>
                  </w:r>
                </w:p>
              </w:tc>
              <w:tc>
                <w:tcPr>
                  <w:tcW w:w="861" w:type="dxa"/>
                  <w:vMerge w:val="restart"/>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发酵</w:t>
                  </w:r>
                </w:p>
              </w:tc>
              <w:tc>
                <w:tcPr>
                  <w:tcW w:w="3516" w:type="dxa"/>
                  <w:gridSpan w:val="2"/>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各类蔬菜</w:t>
                  </w:r>
                </w:p>
              </w:tc>
              <w:tc>
                <w:tcPr>
                  <w:tcW w:w="197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3748.5</w:t>
                  </w:r>
                </w:p>
              </w:tc>
              <w:tc>
                <w:tcPr>
                  <w:tcW w:w="861" w:type="dxa"/>
                  <w:vMerge w:val="continue"/>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p>
              </w:tc>
              <w:tc>
                <w:tcPr>
                  <w:tcW w:w="1927"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袋装浆水</w:t>
                  </w:r>
                </w:p>
              </w:tc>
              <w:tc>
                <w:tcPr>
                  <w:tcW w:w="158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23205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纯水</w:t>
                  </w:r>
                </w:p>
              </w:tc>
              <w:tc>
                <w:tcPr>
                  <w:tcW w:w="197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29013</w:t>
                  </w:r>
                </w:p>
              </w:tc>
              <w:tc>
                <w:tcPr>
                  <w:tcW w:w="861" w:type="dxa"/>
                  <w:vMerge w:val="continue"/>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p>
              </w:tc>
              <w:tc>
                <w:tcPr>
                  <w:tcW w:w="1927"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各类酸菜</w:t>
                  </w:r>
                </w:p>
              </w:tc>
              <w:tc>
                <w:tcPr>
                  <w:tcW w:w="158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9648.04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白砂糖</w:t>
                  </w:r>
                </w:p>
              </w:tc>
              <w:tc>
                <w:tcPr>
                  <w:tcW w:w="197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17.85</w:t>
                  </w:r>
                </w:p>
              </w:tc>
              <w:tc>
                <w:tcPr>
                  <w:tcW w:w="861" w:type="dxa"/>
                  <w:vMerge w:val="continue"/>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p>
              </w:tc>
              <w:tc>
                <w:tcPr>
                  <w:tcW w:w="1927"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过滤杂质</w:t>
                  </w:r>
                </w:p>
              </w:tc>
              <w:tc>
                <w:tcPr>
                  <w:tcW w:w="158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面粉</w:t>
                  </w:r>
                </w:p>
              </w:tc>
              <w:tc>
                <w:tcPr>
                  <w:tcW w:w="197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53.55</w:t>
                  </w:r>
                </w:p>
              </w:tc>
              <w:tc>
                <w:tcPr>
                  <w:tcW w:w="861" w:type="dxa"/>
                  <w:vMerge w:val="continue"/>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p>
              </w:tc>
              <w:tc>
                <w:tcPr>
                  <w:tcW w:w="1927"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分拣杂质</w:t>
                  </w:r>
                </w:p>
              </w:tc>
              <w:tc>
                <w:tcPr>
                  <w:tcW w:w="158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9"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食用油</w:t>
                  </w:r>
                </w:p>
              </w:tc>
              <w:tc>
                <w:tcPr>
                  <w:tcW w:w="197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861" w:type="dxa"/>
                  <w:vMerge w:val="continue"/>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p>
              </w:tc>
              <w:tc>
                <w:tcPr>
                  <w:tcW w:w="192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589"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9"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食盐</w:t>
                  </w:r>
                </w:p>
              </w:tc>
              <w:tc>
                <w:tcPr>
                  <w:tcW w:w="197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861" w:type="dxa"/>
                  <w:vMerge w:val="continue"/>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p>
              </w:tc>
              <w:tc>
                <w:tcPr>
                  <w:tcW w:w="1927"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1589"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9"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仔姜</w:t>
                  </w:r>
                </w:p>
              </w:tc>
              <w:tc>
                <w:tcPr>
                  <w:tcW w:w="197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861" w:type="dxa"/>
                  <w:vMerge w:val="continue"/>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p>
              </w:tc>
              <w:tc>
                <w:tcPr>
                  <w:tcW w:w="1927"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1589"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9"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泡椒</w:t>
                  </w:r>
                </w:p>
              </w:tc>
              <w:tc>
                <w:tcPr>
                  <w:tcW w:w="197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861" w:type="dxa"/>
                  <w:vMerge w:val="continue"/>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p>
              </w:tc>
              <w:tc>
                <w:tcPr>
                  <w:tcW w:w="1927"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1589"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其他调味品</w:t>
                  </w:r>
                </w:p>
              </w:tc>
              <w:tc>
                <w:tcPr>
                  <w:tcW w:w="197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861" w:type="dxa"/>
                  <w:vMerge w:val="continue"/>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p>
              </w:tc>
              <w:tc>
                <w:tcPr>
                  <w:tcW w:w="1927"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1589"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小计</w:t>
                  </w:r>
                </w:p>
              </w:tc>
              <w:tc>
                <w:tcPr>
                  <w:tcW w:w="1979" w:type="dxa"/>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32872.1</w:t>
                  </w:r>
                </w:p>
              </w:tc>
              <w:tc>
                <w:tcPr>
                  <w:tcW w:w="861" w:type="dxa"/>
                  <w:vMerge w:val="continue"/>
                  <w:noWrap w:val="0"/>
                  <w:vAlign w:val="center"/>
                </w:tcPr>
                <w:p>
                  <w:pPr>
                    <w:pStyle w:val="32"/>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p>
              </w:tc>
              <w:tc>
                <w:tcPr>
                  <w:tcW w:w="1927"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1589"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32872.1</w:t>
                  </w:r>
                </w:p>
              </w:tc>
            </w:tr>
          </w:tbl>
          <w:p>
            <w:pPr>
              <w:widowControl/>
              <w:snapToGrid w:val="0"/>
              <w:spacing w:before="60" w:after="160" w:line="259" w:lineRule="auto"/>
              <w:ind w:right="113"/>
              <w:jc w:val="center"/>
              <w:rPr>
                <w:rFonts w:hint="default"/>
                <w:b/>
                <w:bCs/>
                <w:color w:val="auto"/>
                <w:lang w:val="en-US" w:eastAsia="zh-CN"/>
              </w:rPr>
            </w:pPr>
            <w:r>
              <w:rPr>
                <w:rFonts w:hint="eastAsia"/>
                <w:color w:val="auto"/>
                <w:lang w:val="en-US" w:eastAsia="zh-CN"/>
              </w:rPr>
              <w:object>
                <v:shape id="_x0000_i1025" o:spt="75" type="#_x0000_t75" style="height:274.15pt;width:396.85pt;" o:ole="t" filled="f" o:preferrelative="t" stroked="t" coordsize="21600,21600">
                  <v:path/>
                  <v:fill on="f" focussize="0,0"/>
                  <v:stroke color="#000000" joinstyle="miter"/>
                  <v:imagedata r:id="rId7" o:title=""/>
                  <o:lock v:ext="edit" aspectratio="f"/>
                  <w10:wrap type="none"/>
                  <w10:anchorlock/>
                </v:shape>
                <o:OLEObject Type="Embed" ProgID="Visio.Drawing.11" ShapeID="_x0000_i1025" DrawAspect="Content" ObjectID="_1468075725" r:id="rId6">
                  <o:LockedField>false</o:LockedField>
                </o:OLEObject>
              </w:object>
            </w:r>
            <w:r>
              <w:rPr>
                <w:rFonts w:hint="eastAsia"/>
                <w:b/>
                <w:bCs/>
                <w:color w:val="auto"/>
                <w:lang w:val="en-US" w:eastAsia="zh-CN"/>
              </w:rPr>
              <w:t>图2-1  物料平衡</w:t>
            </w:r>
          </w:p>
          <w:p>
            <w:pPr>
              <w:pStyle w:val="40"/>
              <w:spacing w:line="360" w:lineRule="auto"/>
              <w:ind w:firstLine="480" w:firstLineChars="200"/>
              <w:jc w:val="both"/>
              <w:rPr>
                <w:color w:val="auto"/>
                <w:sz w:val="24"/>
                <w:szCs w:val="32"/>
              </w:rPr>
            </w:pPr>
            <w:r>
              <w:rPr>
                <w:color w:val="auto"/>
                <w:sz w:val="24"/>
                <w:szCs w:val="32"/>
              </w:rPr>
              <w:t>5、总平面布置</w:t>
            </w:r>
          </w:p>
          <w:p>
            <w:pPr>
              <w:spacing w:line="360" w:lineRule="auto"/>
              <w:ind w:firstLine="480" w:firstLineChars="200"/>
              <w:rPr>
                <w:color w:val="auto"/>
              </w:rPr>
            </w:pPr>
            <w:r>
              <w:rPr>
                <w:color w:val="auto"/>
              </w:rPr>
              <w:t>厂区总平面布置原则：建设项目必须符合生产行业要求，满足生产工艺需求和安全生产要求。物流与人流分离，供电、供水线路简捷，土地利用及投资合理，建筑物平面布局大方，突出与环境协调。本项目是在满足生产工艺流程的前提下，考虑运输、安全、卫生等要求，结合项目用地的自然地形条件，各种设施不同功能进行分区和组合，力求平面布置紧凑合理节省用地，有利生产，方便管理，</w:t>
            </w:r>
            <w:r>
              <w:rPr>
                <w:rFonts w:hint="eastAsia"/>
                <w:color w:val="auto"/>
              </w:rPr>
              <w:t>厂区的具体平面布局</w:t>
            </w:r>
            <w:r>
              <w:rPr>
                <w:color w:val="auto"/>
              </w:rPr>
              <w:t>如下：</w:t>
            </w:r>
          </w:p>
          <w:p>
            <w:pPr>
              <w:spacing w:line="360" w:lineRule="auto"/>
              <w:ind w:firstLine="480" w:firstLineChars="200"/>
              <w:rPr>
                <w:color w:val="auto"/>
              </w:rPr>
            </w:pPr>
            <w:r>
              <w:rPr>
                <w:color w:val="auto"/>
              </w:rPr>
              <w:t>项目</w:t>
            </w:r>
            <w:r>
              <w:rPr>
                <w:rFonts w:hint="eastAsia"/>
                <w:color w:val="auto"/>
                <w:lang w:val="en-US" w:eastAsia="zh-CN"/>
              </w:rPr>
              <w:t>租用</w:t>
            </w:r>
            <w:r>
              <w:rPr>
                <w:rFonts w:hint="default"/>
                <w:color w:val="auto"/>
              </w:rPr>
              <w:t>辐照产业园</w:t>
            </w:r>
            <w:r>
              <w:rPr>
                <w:rFonts w:hint="eastAsia"/>
                <w:color w:val="auto"/>
                <w:lang w:val="en-US" w:eastAsia="zh-CN"/>
              </w:rPr>
              <w:t>的厂房及空地进行建设，生产车间位于厂区中心，办公楼位于生产办公楼的东侧（位于主导风向的上风向），锅炉房位于生产车间的东北角，冷藏库位于生产车间北侧，</w:t>
            </w:r>
            <w:r>
              <w:rPr>
                <w:color w:val="auto"/>
              </w:rPr>
              <w:t>总体上，本项目利于生产，利于保护员工生活、办公环境。从环保角度考虑，本项目总平面布置较为合理。项目具体平面布置见附图</w:t>
            </w:r>
            <w:r>
              <w:rPr>
                <w:rFonts w:hint="eastAsia"/>
                <w:color w:val="auto"/>
                <w:lang w:val="en-US" w:eastAsia="zh-CN"/>
              </w:rPr>
              <w:t>2</w:t>
            </w:r>
            <w:r>
              <w:rPr>
                <w:color w:val="auto"/>
              </w:rPr>
              <w:t>。</w:t>
            </w:r>
          </w:p>
          <w:p>
            <w:pPr>
              <w:spacing w:line="360" w:lineRule="auto"/>
              <w:ind w:firstLine="482"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三、公用工程</w:t>
            </w:r>
          </w:p>
          <w:p>
            <w:pPr>
              <w:spacing w:line="360" w:lineRule="auto"/>
              <w:ind w:firstLine="482"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1、供电</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项目用电由当地电网提供。</w:t>
            </w:r>
          </w:p>
          <w:p>
            <w:pPr>
              <w:spacing w:line="360" w:lineRule="auto"/>
              <w:ind w:firstLine="482" w:firstLineChars="200"/>
              <w:rPr>
                <w:rFonts w:ascii="Times New Roman" w:hAnsi="Times New Roman" w:eastAsia="宋体" w:cs="Times New Roman"/>
                <w:color w:val="auto"/>
                <w:sz w:val="24"/>
              </w:rPr>
            </w:pPr>
            <w:r>
              <w:rPr>
                <w:rFonts w:ascii="Times New Roman" w:hAnsi="Times New Roman" w:eastAsia="宋体" w:cs="Times New Roman"/>
                <w:b/>
                <w:bCs/>
                <w:color w:val="auto"/>
                <w:sz w:val="24"/>
              </w:rPr>
              <w:t>2、供暖</w:t>
            </w:r>
          </w:p>
          <w:p>
            <w:pPr>
              <w:spacing w:line="360" w:lineRule="auto"/>
              <w:ind w:firstLine="480" w:firstLineChars="200"/>
              <w:rPr>
                <w:rFonts w:hint="default" w:ascii="Times New Roman" w:hAnsi="Times New Roman" w:eastAsia="宋体" w:cs="Times New Roman"/>
                <w:color w:val="auto"/>
                <w:sz w:val="24"/>
                <w:lang w:val="en-US" w:eastAsia="zh-CN"/>
              </w:rPr>
            </w:pPr>
            <w:r>
              <w:rPr>
                <w:rFonts w:ascii="Times New Roman" w:hAnsi="Times New Roman" w:eastAsia="宋体" w:cs="Times New Roman"/>
                <w:color w:val="auto"/>
                <w:sz w:val="24"/>
              </w:rPr>
              <w:t>项目冬季</w:t>
            </w:r>
            <w:r>
              <w:rPr>
                <w:rFonts w:hint="eastAsia" w:ascii="Times New Roman" w:hAnsi="Times New Roman" w:eastAsia="宋体" w:cs="Times New Roman"/>
                <w:color w:val="auto"/>
                <w:sz w:val="24"/>
              </w:rPr>
              <w:t>使用</w:t>
            </w:r>
            <w:r>
              <w:rPr>
                <w:rFonts w:hint="eastAsia" w:cs="Times New Roman"/>
                <w:color w:val="auto"/>
                <w:sz w:val="24"/>
                <w:lang w:val="en-US" w:eastAsia="zh-CN"/>
              </w:rPr>
              <w:t>空气运气热泵</w:t>
            </w:r>
            <w:r>
              <w:rPr>
                <w:rFonts w:hint="eastAsia" w:ascii="Times New Roman" w:hAnsi="Times New Roman" w:eastAsia="宋体" w:cs="Times New Roman"/>
                <w:color w:val="auto"/>
                <w:sz w:val="24"/>
              </w:rPr>
              <w:t>供暖</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蔬菜漂烫</w:t>
            </w:r>
            <w:r>
              <w:rPr>
                <w:rFonts w:hint="eastAsia" w:cs="Times New Roman"/>
                <w:color w:val="auto"/>
                <w:sz w:val="24"/>
                <w:lang w:val="en-US" w:eastAsia="zh-CN"/>
              </w:rPr>
              <w:t>、杀菌</w:t>
            </w:r>
            <w:r>
              <w:rPr>
                <w:rFonts w:hint="eastAsia" w:ascii="Times New Roman" w:hAnsi="Times New Roman" w:eastAsia="宋体" w:cs="Times New Roman"/>
                <w:color w:val="auto"/>
                <w:sz w:val="24"/>
                <w:lang w:val="en-US" w:eastAsia="zh-CN"/>
              </w:rPr>
              <w:t>使用蒸汽间接加热的方式进行。</w:t>
            </w:r>
          </w:p>
          <w:p>
            <w:pPr>
              <w:spacing w:line="360" w:lineRule="auto"/>
              <w:ind w:firstLine="482"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3、食宿</w:t>
            </w:r>
          </w:p>
          <w:p>
            <w:pPr>
              <w:pStyle w:val="41"/>
              <w:rPr>
                <w:color w:val="auto"/>
              </w:rPr>
            </w:pPr>
            <w:r>
              <w:rPr>
                <w:color w:val="auto"/>
              </w:rPr>
              <w:t>共有员工</w:t>
            </w:r>
            <w:r>
              <w:rPr>
                <w:rFonts w:hint="eastAsia"/>
                <w:color w:val="auto"/>
                <w:lang w:val="en-US" w:eastAsia="zh-CN"/>
              </w:rPr>
              <w:t>75</w:t>
            </w:r>
            <w:r>
              <w:rPr>
                <w:color w:val="auto"/>
              </w:rPr>
              <w:t>人，</w:t>
            </w:r>
            <w:r>
              <w:rPr>
                <w:rFonts w:hint="eastAsia"/>
                <w:color w:val="auto"/>
                <w:lang w:val="en-US" w:eastAsia="zh-CN"/>
              </w:rPr>
              <w:t>提供午餐，不提供住宿</w:t>
            </w:r>
            <w:r>
              <w:rPr>
                <w:color w:val="auto"/>
              </w:rPr>
              <w:t>。</w:t>
            </w:r>
          </w:p>
          <w:p>
            <w:pPr>
              <w:spacing w:line="360" w:lineRule="auto"/>
              <w:ind w:firstLine="482"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4、供水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 w:val="0"/>
                <w:bCs w:val="0"/>
                <w:color w:val="auto"/>
                <w:kern w:val="0"/>
                <w:sz w:val="24"/>
                <w:szCs w:val="24"/>
                <w:highlight w:val="none"/>
                <w:lang w:val="en-US" w:eastAsia="zh-CN" w:bidi="ar-SA"/>
              </w:rPr>
              <w:t>（1）浆水生产用水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浆水生产用水使用纯水，纯水由纯水机制备，根据建设单位提供的生产资料，每吨蔬菜加纯水7.</w:t>
            </w:r>
            <w:r>
              <w:rPr>
                <w:rFonts w:hint="eastAsia" w:cs="Times New Roman"/>
                <w:color w:val="auto"/>
                <w:kern w:val="0"/>
                <w:sz w:val="24"/>
                <w:szCs w:val="24"/>
                <w:highlight w:val="none"/>
                <w:lang w:val="en-US" w:eastAsia="zh-CN" w:bidi="ar-SA"/>
              </w:rPr>
              <w:t>74</w:t>
            </w:r>
            <w:r>
              <w:rPr>
                <w:rFonts w:hint="eastAsia" w:ascii="Times New Roman" w:hAnsi="Times New Roman" w:eastAsia="宋体" w:cs="Times New Roman"/>
                <w:color w:val="auto"/>
                <w:kern w:val="0"/>
                <w:sz w:val="24"/>
                <w:szCs w:val="24"/>
                <w:highlight w:val="none"/>
                <w:lang w:val="en-US" w:eastAsia="zh-CN" w:bidi="ar-SA"/>
              </w:rPr>
              <w:t>t，项目日消耗各类蔬菜10.5t，则纯水用量约为8</w:t>
            </w:r>
            <w:r>
              <w:rPr>
                <w:rFonts w:hint="eastAsia" w:cs="Times New Roman"/>
                <w:color w:val="auto"/>
                <w:kern w:val="0"/>
                <w:sz w:val="24"/>
                <w:szCs w:val="24"/>
                <w:highlight w:val="none"/>
                <w:lang w:val="en-US" w:eastAsia="zh-CN" w:bidi="ar-SA"/>
              </w:rPr>
              <w:t>1.3</w:t>
            </w:r>
            <w:r>
              <w:rPr>
                <w:rFonts w:hint="eastAsia" w:ascii="Times New Roman" w:hAnsi="Times New Roman" w:eastAsia="宋体" w:cs="Times New Roman"/>
                <w:color w:val="auto"/>
                <w:kern w:val="0"/>
                <w:sz w:val="24"/>
                <w:szCs w:val="24"/>
                <w:highlight w:val="none"/>
                <w:lang w:val="en-US" w:eastAsia="zh-CN" w:bidi="ar-SA"/>
              </w:rPr>
              <w:t>t/d（2</w:t>
            </w:r>
            <w:r>
              <w:rPr>
                <w:rFonts w:hint="eastAsia" w:cs="Times New Roman"/>
                <w:color w:val="auto"/>
                <w:kern w:val="0"/>
                <w:sz w:val="24"/>
                <w:szCs w:val="24"/>
                <w:highlight w:val="none"/>
                <w:lang w:val="en-US" w:eastAsia="zh-CN" w:bidi="ar-SA"/>
              </w:rPr>
              <w:t>9013</w:t>
            </w:r>
            <w:r>
              <w:rPr>
                <w:rFonts w:hint="eastAsia" w:ascii="Times New Roman" w:hAnsi="Times New Roman" w:eastAsia="宋体" w:cs="Times New Roman"/>
                <w:color w:val="auto"/>
                <w:kern w:val="0"/>
                <w:sz w:val="24"/>
                <w:szCs w:val="24"/>
                <w:highlight w:val="none"/>
                <w:lang w:val="en-US" w:eastAsia="zh-CN" w:bidi="ar-SA"/>
              </w:rPr>
              <w:t>t/a）。</w:t>
            </w:r>
          </w:p>
          <w:p>
            <w:pPr>
              <w:bidi w:val="0"/>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原料清洗用水</w:t>
            </w:r>
          </w:p>
          <w:p>
            <w:pPr>
              <w:keepNext/>
              <w:keepLines/>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项目原料进场后需要进行清洗，主要是</w:t>
            </w:r>
            <w:r>
              <w:rPr>
                <w:rFonts w:hint="eastAsia" w:cs="Times New Roman"/>
                <w:b w:val="0"/>
                <w:color w:val="auto"/>
                <w:kern w:val="2"/>
                <w:sz w:val="24"/>
                <w:szCs w:val="24"/>
                <w:highlight w:val="none"/>
                <w:lang w:val="en-US" w:eastAsia="zh-CN" w:bidi="ar-SA"/>
              </w:rPr>
              <w:t>进行蔬菜的清洗</w:t>
            </w:r>
            <w:r>
              <w:rPr>
                <w:rFonts w:hint="eastAsia" w:ascii="Times New Roman" w:hAnsi="Times New Roman" w:eastAsia="宋体" w:cs="Times New Roman"/>
                <w:b w:val="0"/>
                <w:color w:val="auto"/>
                <w:kern w:val="2"/>
                <w:sz w:val="24"/>
                <w:szCs w:val="24"/>
                <w:highlight w:val="none"/>
                <w:lang w:val="en-US" w:eastAsia="zh-CN" w:bidi="ar-SA"/>
              </w:rPr>
              <w:t>，</w:t>
            </w:r>
            <w:r>
              <w:rPr>
                <w:rFonts w:hint="eastAsia" w:cs="Times New Roman"/>
                <w:b w:val="0"/>
                <w:color w:val="auto"/>
                <w:kern w:val="2"/>
                <w:sz w:val="24"/>
                <w:szCs w:val="24"/>
                <w:highlight w:val="none"/>
                <w:lang w:val="en-US" w:eastAsia="zh-CN" w:bidi="ar-SA"/>
              </w:rPr>
              <w:t>清洗设备水槽大小为3.5m</w:t>
            </w:r>
            <w:r>
              <w:rPr>
                <w:rFonts w:hint="eastAsia" w:cs="Times New Roman"/>
                <w:b w:val="0"/>
                <w:color w:val="auto"/>
                <w:kern w:val="2"/>
                <w:sz w:val="24"/>
                <w:szCs w:val="24"/>
                <w:highlight w:val="none"/>
                <w:vertAlign w:val="superscript"/>
                <w:lang w:val="en-US" w:eastAsia="zh-CN" w:bidi="ar-SA"/>
              </w:rPr>
              <w:t>3</w:t>
            </w:r>
            <w:r>
              <w:rPr>
                <w:rFonts w:hint="eastAsia" w:cs="Times New Roman"/>
                <w:b w:val="0"/>
                <w:color w:val="auto"/>
                <w:kern w:val="2"/>
                <w:sz w:val="24"/>
                <w:szCs w:val="24"/>
                <w:highlight w:val="none"/>
                <w:lang w:val="en-US" w:eastAsia="zh-CN" w:bidi="ar-SA"/>
              </w:rPr>
              <w:t>，清洗用水量为1m</w:t>
            </w:r>
            <w:r>
              <w:rPr>
                <w:rFonts w:hint="eastAsia" w:cs="Times New Roman"/>
                <w:b w:val="0"/>
                <w:color w:val="auto"/>
                <w:kern w:val="2"/>
                <w:sz w:val="24"/>
                <w:szCs w:val="24"/>
                <w:highlight w:val="none"/>
                <w:vertAlign w:val="superscript"/>
                <w:lang w:val="en-US" w:eastAsia="zh-CN" w:bidi="ar-SA"/>
              </w:rPr>
              <w:t>3</w:t>
            </w:r>
            <w:r>
              <w:rPr>
                <w:rFonts w:hint="eastAsia" w:cs="Times New Roman"/>
                <w:b w:val="0"/>
                <w:color w:val="auto"/>
                <w:kern w:val="2"/>
                <w:sz w:val="24"/>
                <w:szCs w:val="24"/>
                <w:highlight w:val="none"/>
                <w:lang w:val="en-US" w:eastAsia="zh-CN" w:bidi="ar-SA"/>
              </w:rPr>
              <w:t>/吨蔬菜，每日清洗工作结束后将水槽中的水排空。则原料清洗用水量为10.5m</w:t>
            </w:r>
            <w:r>
              <w:rPr>
                <w:rFonts w:hint="eastAsia" w:cs="Times New Roman"/>
                <w:b w:val="0"/>
                <w:color w:val="auto"/>
                <w:kern w:val="2"/>
                <w:sz w:val="24"/>
                <w:szCs w:val="24"/>
                <w:highlight w:val="none"/>
                <w:vertAlign w:val="superscript"/>
                <w:lang w:val="en-US" w:eastAsia="zh-CN" w:bidi="ar-SA"/>
              </w:rPr>
              <w:t>3</w:t>
            </w:r>
            <w:r>
              <w:rPr>
                <w:rFonts w:hint="eastAsia" w:cs="Times New Roman"/>
                <w:b w:val="0"/>
                <w:color w:val="auto"/>
                <w:kern w:val="2"/>
                <w:sz w:val="24"/>
                <w:szCs w:val="24"/>
                <w:highlight w:val="none"/>
                <w:lang w:val="en-US" w:eastAsia="zh-CN" w:bidi="ar-SA"/>
              </w:rPr>
              <w:t>/d，</w:t>
            </w:r>
            <w:r>
              <w:rPr>
                <w:rFonts w:hint="eastAsia" w:ascii="Times New Roman" w:hAnsi="Times New Roman" w:eastAsia="宋体" w:cs="Times New Roman"/>
                <w:b w:val="0"/>
                <w:color w:val="auto"/>
                <w:kern w:val="2"/>
                <w:sz w:val="24"/>
                <w:szCs w:val="24"/>
                <w:highlight w:val="none"/>
                <w:lang w:val="en-US" w:eastAsia="zh-CN" w:bidi="ar-SA"/>
              </w:rPr>
              <w:t>蔬菜清洗使用纯水机制备纯水。</w:t>
            </w:r>
          </w:p>
          <w:p>
            <w:pPr>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（3）设备清洗用水</w:t>
            </w:r>
          </w:p>
          <w:p>
            <w:pPr>
              <w:widowControl w:val="0"/>
              <w:spacing w:line="360" w:lineRule="auto"/>
              <w:ind w:firstLine="480" w:firstLineChars="200"/>
              <w:jc w:val="both"/>
              <w:rPr>
                <w:rFonts w:hint="default" w:ascii="Times New Roman" w:hAnsi="Times New Roman" w:eastAsia="宋体" w:cs="Times New Roman"/>
                <w:color w:val="auto"/>
                <w:kern w:val="0"/>
                <w:sz w:val="24"/>
                <w:szCs w:val="21"/>
                <w:highlight w:val="none"/>
                <w:lang w:val="en-US" w:eastAsia="zh-CN" w:bidi="ar-SA"/>
              </w:rPr>
            </w:pPr>
            <w:r>
              <w:rPr>
                <w:rFonts w:hint="eastAsia" w:ascii="Times New Roman" w:hAnsi="Times New Roman" w:eastAsia="宋体" w:cs="Times New Roman"/>
                <w:color w:val="auto"/>
                <w:kern w:val="0"/>
                <w:sz w:val="24"/>
                <w:szCs w:val="21"/>
                <w:highlight w:val="none"/>
                <w:lang w:val="en-US" w:eastAsia="zh-CN" w:bidi="ar-SA"/>
              </w:rPr>
              <w:t>项目每日生产任务结束后对净菜生产线、发酵缸、原液储存罐等生产设备进行清洗。清洗使用纯水设备制备纯水。</w:t>
            </w:r>
          </w:p>
          <w:p>
            <w:pPr>
              <w:bidi w:val="0"/>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A发酵缸清洗用水</w:t>
            </w:r>
          </w:p>
          <w:p>
            <w:pPr>
              <w:widowControl w:val="0"/>
              <w:spacing w:line="360" w:lineRule="auto"/>
              <w:ind w:firstLine="480" w:firstLineChars="200"/>
              <w:jc w:val="both"/>
              <w:rPr>
                <w:rFonts w:hint="eastAsia" w:ascii="Times New Roman" w:hAnsi="Times New Roman" w:eastAsia="宋体" w:cs="Times New Roman"/>
                <w:color w:val="auto"/>
                <w:kern w:val="0"/>
                <w:sz w:val="24"/>
                <w:szCs w:val="21"/>
                <w:highlight w:val="none"/>
                <w:lang w:val="en-US" w:eastAsia="zh-CN" w:bidi="ar-SA"/>
              </w:rPr>
            </w:pPr>
            <w:r>
              <w:rPr>
                <w:rFonts w:hint="eastAsia" w:ascii="Times New Roman" w:hAnsi="Times New Roman" w:eastAsia="宋体" w:cs="Times New Roman"/>
                <w:color w:val="auto"/>
                <w:highlight w:val="none"/>
                <w:lang w:val="en-US" w:eastAsia="zh-CN"/>
              </w:rPr>
              <w:t>根据建设单位提供数据，每个发酵缸清洗需用水20L，项目共有387缸</w:t>
            </w:r>
            <w:r>
              <w:rPr>
                <w:rFonts w:hint="eastAsia" w:ascii="Times New Roman" w:hAnsi="Times New Roman" w:eastAsia="宋体" w:cs="Times New Roman"/>
                <w:color w:val="auto"/>
                <w:kern w:val="0"/>
                <w:sz w:val="24"/>
                <w:szCs w:val="21"/>
                <w:highlight w:val="none"/>
                <w:lang w:val="en-US" w:eastAsia="zh-CN" w:bidi="ar-SA"/>
              </w:rPr>
              <w:t>，发酵罐每批次清洗一次（3d），</w:t>
            </w:r>
            <w:r>
              <w:rPr>
                <w:rFonts w:hint="eastAsia" w:ascii="Times New Roman" w:hAnsi="Times New Roman" w:eastAsia="宋体" w:cs="Times New Roman"/>
                <w:color w:val="auto"/>
                <w:highlight w:val="none"/>
                <w:lang w:val="en-US" w:eastAsia="zh-CN"/>
              </w:rPr>
              <w:t>则每批次清洗用水量为7.85m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/批次，</w:t>
            </w:r>
            <w:r>
              <w:rPr>
                <w:rFonts w:hint="eastAsia" w:ascii="Times New Roman" w:hAnsi="Times New Roman" w:eastAsia="宋体" w:cs="Times New Roman"/>
                <w:color w:val="auto"/>
                <w:kern w:val="0"/>
                <w:sz w:val="24"/>
                <w:szCs w:val="21"/>
                <w:highlight w:val="none"/>
                <w:lang w:val="en-US" w:eastAsia="zh-CN" w:bidi="ar-SA"/>
              </w:rPr>
              <w:t>约2.6m</w:t>
            </w:r>
            <w:r>
              <w:rPr>
                <w:rFonts w:hint="eastAsia" w:ascii="Times New Roman" w:hAnsi="Times New Roman" w:eastAsia="宋体" w:cs="Times New Roman"/>
                <w:color w:val="auto"/>
                <w:kern w:val="0"/>
                <w:sz w:val="24"/>
                <w:szCs w:val="21"/>
                <w:highlight w:val="none"/>
                <w:vertAlign w:val="superscript"/>
                <w:lang w:val="en-US" w:eastAsia="zh-CN" w:bidi="ar-SA"/>
              </w:rPr>
              <w:t>3</w:t>
            </w:r>
            <w:r>
              <w:rPr>
                <w:rFonts w:hint="eastAsia" w:ascii="Times New Roman" w:hAnsi="Times New Roman" w:eastAsia="宋体" w:cs="Times New Roman"/>
                <w:color w:val="auto"/>
                <w:kern w:val="0"/>
                <w:sz w:val="24"/>
                <w:szCs w:val="21"/>
                <w:highlight w:val="none"/>
                <w:lang w:val="en-US" w:eastAsia="zh-CN" w:bidi="ar-SA"/>
              </w:rPr>
              <w:t>/d（924m</w:t>
            </w:r>
            <w:r>
              <w:rPr>
                <w:rFonts w:hint="eastAsia" w:ascii="Times New Roman" w:hAnsi="Times New Roman" w:eastAsia="宋体" w:cs="Times New Roman"/>
                <w:color w:val="auto"/>
                <w:kern w:val="0"/>
                <w:sz w:val="24"/>
                <w:szCs w:val="21"/>
                <w:highlight w:val="none"/>
                <w:vertAlign w:val="superscript"/>
                <w:lang w:val="en-US" w:eastAsia="zh-CN" w:bidi="ar-SA"/>
              </w:rPr>
              <w:t>3</w:t>
            </w:r>
            <w:r>
              <w:rPr>
                <w:rFonts w:hint="eastAsia" w:ascii="Times New Roman" w:hAnsi="Times New Roman" w:eastAsia="宋体" w:cs="Times New Roman"/>
                <w:color w:val="auto"/>
                <w:kern w:val="0"/>
                <w:sz w:val="24"/>
                <w:szCs w:val="21"/>
                <w:highlight w:val="none"/>
                <w:lang w:val="en-US" w:eastAsia="zh-CN" w:bidi="ar-SA"/>
              </w:rPr>
              <w:t>/a）</w:t>
            </w:r>
          </w:p>
          <w:p>
            <w:pPr>
              <w:bidi w:val="0"/>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B其他设备清洗用水</w:t>
            </w:r>
          </w:p>
          <w:p>
            <w:pPr>
              <w:ind w:firstLine="48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根据建设单位提供数据，其他设备每日生产结束后进行清洗，清洗用水为纯水，用水量约2m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/d（714m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/a）</w:t>
            </w:r>
          </w:p>
          <w:p>
            <w:pPr>
              <w:bidi w:val="0"/>
              <w:ind w:firstLine="480" w:firstLineChars="200"/>
              <w:rPr>
                <w:rFonts w:hint="eastAsia"/>
                <w:color w:val="auto"/>
                <w:lang w:val="en-US" w:eastAsia="zh-CN"/>
              </w:rPr>
            </w:pPr>
            <w:r>
              <w:rPr>
                <w:rFonts w:hint="eastAsia"/>
                <w:color w:val="auto"/>
                <w:lang w:val="en-US" w:eastAsia="zh-CN"/>
              </w:rPr>
              <w:t>（4）漂烫设备用水</w:t>
            </w:r>
          </w:p>
          <w:p>
            <w:pPr>
              <w:pStyle w:val="41"/>
              <w:rPr>
                <w:rFonts w:hint="eastAsia"/>
                <w:color w:val="auto"/>
                <w:lang w:val="en-US" w:eastAsia="zh-CN"/>
              </w:rPr>
            </w:pPr>
            <w:r>
              <w:rPr>
                <w:rFonts w:hint="eastAsia"/>
                <w:color w:val="auto"/>
                <w:lang w:val="en-US" w:eastAsia="zh-CN"/>
              </w:rPr>
              <w:t>项目设置净菜线设置漂烫机用于蔬菜漂烫，根据建设单位设计资料，漂烫设置有规格为2m</w:t>
            </w:r>
            <w:r>
              <w:rPr>
                <w:rFonts w:hint="eastAsia"/>
                <w:color w:val="auto"/>
                <w:vertAlign w:val="superscript"/>
                <w:lang w:val="en-US" w:eastAsia="zh-CN"/>
              </w:rPr>
              <w:t>3</w:t>
            </w:r>
            <w:r>
              <w:rPr>
                <w:rFonts w:hint="eastAsia"/>
                <w:color w:val="auto"/>
                <w:lang w:val="en-US" w:eastAsia="zh-CN"/>
              </w:rPr>
              <w:t>的漂烫水槽，每日漂烫水在槽内循环利用，漂烫时通入热蒸汽间接加热，只需要补充少许损耗水（30%），每日换水1次，年生产357天，根据建设单位的技术提供方提供的武山地区浆水生产中漂烫用水约</w:t>
            </w:r>
            <w:r>
              <w:rPr>
                <w:rFonts w:hint="eastAsia" w:ascii="Times New Roman" w:eastAsia="宋体"/>
                <w:color w:val="auto"/>
                <w:lang w:val="en-US" w:eastAsia="zh-CN"/>
              </w:rPr>
              <w:t>为</w:t>
            </w:r>
            <w:r>
              <w:rPr>
                <w:rFonts w:hint="eastAsia"/>
                <w:color w:val="auto"/>
                <w:lang w:val="en-US" w:eastAsia="zh-CN"/>
              </w:rPr>
              <w:t>0.4t/t蔬菜，则漂烫用水量约为4.4m</w:t>
            </w:r>
            <w:r>
              <w:rPr>
                <w:rFonts w:hint="eastAsia"/>
                <w:color w:val="auto"/>
                <w:vertAlign w:val="superscript"/>
                <w:lang w:val="en-US" w:eastAsia="zh-CN"/>
              </w:rPr>
              <w:t>3</w:t>
            </w:r>
            <w:r>
              <w:rPr>
                <w:rFonts w:hint="eastAsia"/>
                <w:color w:val="auto"/>
                <w:lang w:val="en-US" w:eastAsia="zh-CN"/>
              </w:rPr>
              <w:t>/d（1571m</w:t>
            </w:r>
            <w:r>
              <w:rPr>
                <w:rFonts w:hint="eastAsia"/>
                <w:color w:val="auto"/>
                <w:vertAlign w:val="superscript"/>
                <w:lang w:val="en-US" w:eastAsia="zh-CN"/>
              </w:rPr>
              <w:t>3</w:t>
            </w:r>
            <w:r>
              <w:rPr>
                <w:rFonts w:hint="eastAsia"/>
                <w:color w:val="auto"/>
                <w:lang w:val="en-US" w:eastAsia="zh-CN"/>
              </w:rPr>
              <w:t>/a），其中约25%被蔬菜带走（1.1m</w:t>
            </w:r>
            <w:r>
              <w:rPr>
                <w:rFonts w:hint="eastAsia"/>
                <w:color w:val="auto"/>
                <w:vertAlign w:val="superscript"/>
                <w:lang w:val="en-US" w:eastAsia="zh-CN"/>
              </w:rPr>
              <w:t>3</w:t>
            </w:r>
            <w:r>
              <w:rPr>
                <w:rFonts w:hint="eastAsia"/>
                <w:color w:val="auto"/>
                <w:lang w:val="en-US" w:eastAsia="zh-CN"/>
              </w:rPr>
              <w:t>/d），30%蒸发损耗（</w:t>
            </w:r>
            <w:r>
              <w:rPr>
                <w:rFonts w:hint="eastAsia" w:ascii="Times New Roman" w:eastAsia="宋体"/>
                <w:color w:val="auto"/>
                <w:lang w:val="en-US" w:eastAsia="zh-CN"/>
              </w:rPr>
              <w:t>1.3m</w:t>
            </w:r>
            <w:r>
              <w:rPr>
                <w:rFonts w:hint="eastAsia" w:ascii="Times New Roman" w:eastAsia="宋体"/>
                <w:color w:val="auto"/>
                <w:vertAlign w:val="superscript"/>
                <w:lang w:val="en-US" w:eastAsia="zh-CN"/>
              </w:rPr>
              <w:t>3</w:t>
            </w:r>
            <w:r>
              <w:rPr>
                <w:rFonts w:hint="eastAsia" w:ascii="Times New Roman" w:eastAsia="宋体"/>
                <w:color w:val="auto"/>
                <w:lang w:val="en-US" w:eastAsia="zh-CN"/>
              </w:rPr>
              <w:t>/d</w:t>
            </w:r>
            <w:r>
              <w:rPr>
                <w:rFonts w:hint="eastAsia"/>
                <w:color w:val="auto"/>
                <w:lang w:val="en-US" w:eastAsia="zh-CN"/>
              </w:rPr>
              <w:t>）。</w:t>
            </w:r>
          </w:p>
          <w:p>
            <w:pPr>
              <w:pStyle w:val="41"/>
              <w:rPr>
                <w:rFonts w:hint="eastAsia"/>
                <w:color w:val="auto"/>
                <w:lang w:val="en-US" w:eastAsia="zh-CN"/>
              </w:rPr>
            </w:pPr>
            <w:r>
              <w:rPr>
                <w:rFonts w:hint="eastAsia"/>
                <w:color w:val="auto"/>
                <w:lang w:val="en-US" w:eastAsia="zh-CN"/>
              </w:rPr>
              <w:t>（5）冷却清洗用水</w:t>
            </w:r>
          </w:p>
          <w:p>
            <w:pPr>
              <w:pStyle w:val="41"/>
              <w:rPr>
                <w:rFonts w:hint="eastAsia"/>
                <w:color w:val="auto"/>
                <w:lang w:val="en-US" w:eastAsia="zh-CN"/>
              </w:rPr>
            </w:pPr>
            <w:r>
              <w:rPr>
                <w:rFonts w:hint="eastAsia"/>
                <w:color w:val="auto"/>
                <w:lang w:val="en-US" w:eastAsia="zh-CN"/>
              </w:rPr>
              <w:t>项目净菜线设置冷却清洗机用于漂烫后蔬菜冷却清洗，冷却清洗机配套有1台冷却机，其冷却清洗水采用循环交换冷却方式，冷却清洗机与冷却机总冷却水槽容积为2m</w:t>
            </w:r>
            <w:r>
              <w:rPr>
                <w:rFonts w:hint="eastAsia"/>
                <w:color w:val="auto"/>
                <w:vertAlign w:val="superscript"/>
                <w:lang w:val="en-US" w:eastAsia="zh-CN"/>
              </w:rPr>
              <w:t>3</w:t>
            </w:r>
            <w:r>
              <w:rPr>
                <w:rFonts w:hint="eastAsia"/>
                <w:color w:val="auto"/>
                <w:lang w:val="en-US" w:eastAsia="zh-CN"/>
              </w:rPr>
              <w:t>，每日换水1次，年生产357天，因此冷却清洗用水量为2m</w:t>
            </w:r>
            <w:r>
              <w:rPr>
                <w:rFonts w:hint="eastAsia"/>
                <w:color w:val="auto"/>
                <w:vertAlign w:val="superscript"/>
                <w:lang w:val="en-US" w:eastAsia="zh-CN"/>
              </w:rPr>
              <w:t>3</w:t>
            </w:r>
            <w:r>
              <w:rPr>
                <w:rFonts w:hint="eastAsia"/>
                <w:color w:val="auto"/>
                <w:lang w:val="en-US" w:eastAsia="zh-CN"/>
              </w:rPr>
              <w:t>/d（400m</w:t>
            </w:r>
            <w:r>
              <w:rPr>
                <w:rFonts w:hint="eastAsia"/>
                <w:color w:val="auto"/>
                <w:vertAlign w:val="superscript"/>
                <w:lang w:val="en-US" w:eastAsia="zh-CN"/>
              </w:rPr>
              <w:t>3</w:t>
            </w:r>
            <w:r>
              <w:rPr>
                <w:rFonts w:hint="eastAsia"/>
                <w:color w:val="auto"/>
                <w:lang w:val="en-US" w:eastAsia="zh-CN"/>
              </w:rPr>
              <w:t>/a）。</w:t>
            </w:r>
          </w:p>
          <w:p>
            <w:pPr>
              <w:pStyle w:val="41"/>
              <w:ind w:left="0" w:leftChars="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（6）生产车间地面清洁用水</w:t>
            </w:r>
          </w:p>
          <w:p>
            <w:pPr>
              <w:pStyle w:val="41"/>
              <w:ind w:left="0" w:leftChars="0" w:firstLine="480" w:firstLineChars="200"/>
              <w:rPr>
                <w:rFonts w:hint="default" w:cs="Times New Roman"/>
                <w:color w:val="auto"/>
                <w:sz w:val="24"/>
                <w:szCs w:val="24"/>
                <w:lang w:val="en-US" w:eastAsia="zh-CN"/>
              </w:rPr>
            </w:pPr>
            <w:r>
              <w:rPr>
                <w:rFonts w:hint="default" w:cs="Times New Roman"/>
                <w:color w:val="auto"/>
                <w:sz w:val="24"/>
                <w:szCs w:val="24"/>
                <w:lang w:val="en-US" w:eastAsia="zh-CN"/>
              </w:rPr>
              <w:t>根据《建筑给水排水设计规范》（GB50015-2003）的有关设计规程，地面清洗废水按2L/m</w:t>
            </w:r>
            <w:r>
              <w:rPr>
                <w:rFonts w:hint="default" w:cs="Times New Roman"/>
                <w:color w:val="auto"/>
                <w:sz w:val="24"/>
                <w:szCs w:val="24"/>
                <w:vertAlign w:val="superscript"/>
                <w:lang w:val="en-US" w:eastAsia="zh-CN"/>
              </w:rPr>
              <w:t>2</w:t>
            </w:r>
            <w:r>
              <w:rPr>
                <w:rFonts w:hint="default" w:cs="Times New Roman"/>
                <w:color w:val="auto"/>
                <w:sz w:val="24"/>
                <w:szCs w:val="24"/>
                <w:lang w:val="en-US" w:eastAsia="zh-CN"/>
              </w:rPr>
              <w:t>·次，项目</w:t>
            </w:r>
            <w:r>
              <w:rPr>
                <w:rFonts w:hint="eastAsia" w:cs="Times New Roman"/>
                <w:color w:val="auto"/>
                <w:sz w:val="24"/>
                <w:szCs w:val="24"/>
                <w:lang w:val="en-US" w:eastAsia="zh-CN"/>
              </w:rPr>
              <w:t>生产车间</w:t>
            </w:r>
            <w:r>
              <w:rPr>
                <w:rFonts w:hint="default" w:cs="Times New Roman"/>
                <w:color w:val="auto"/>
                <w:sz w:val="24"/>
                <w:szCs w:val="24"/>
                <w:lang w:val="en-US" w:eastAsia="zh-CN"/>
              </w:rPr>
              <w:t>地面需清洁的面积约1000m</w:t>
            </w:r>
            <w:r>
              <w:rPr>
                <w:rFonts w:hint="default" w:cs="Times New Roman"/>
                <w:color w:val="auto"/>
                <w:sz w:val="24"/>
                <w:szCs w:val="24"/>
                <w:vertAlign w:val="superscript"/>
                <w:lang w:val="en-US" w:eastAsia="zh-CN"/>
              </w:rPr>
              <w:t>2</w:t>
            </w:r>
            <w:r>
              <w:rPr>
                <w:rFonts w:hint="eastAsia" w:cs="Times New Roman"/>
                <w:color w:val="auto"/>
                <w:sz w:val="24"/>
                <w:szCs w:val="24"/>
                <w:vertAlign w:val="baseline"/>
                <w:lang w:val="en-US" w:eastAsia="zh-CN"/>
              </w:rPr>
              <w:t>（发酵缸占地不进行清洗，主要清洗区域为净菜间、酸菜间等）</w:t>
            </w:r>
            <w:r>
              <w:rPr>
                <w:rFonts w:hint="default" w:cs="Times New Roman"/>
                <w:color w:val="auto"/>
                <w:sz w:val="24"/>
                <w:szCs w:val="24"/>
                <w:lang w:val="en-US" w:eastAsia="zh-CN"/>
              </w:rPr>
              <w:t>，则项目车间地面清洗用水量为2m</w:t>
            </w:r>
            <w:r>
              <w:rPr>
                <w:rFonts w:hint="default" w:cs="Times New Roman"/>
                <w:color w:val="auto"/>
                <w:sz w:val="24"/>
                <w:szCs w:val="24"/>
                <w:vertAlign w:val="superscript"/>
                <w:lang w:val="en-US" w:eastAsia="zh-CN"/>
              </w:rPr>
              <w:t>3</w:t>
            </w:r>
            <w:r>
              <w:rPr>
                <w:rFonts w:hint="default" w:cs="Times New Roman"/>
                <w:color w:val="auto"/>
                <w:sz w:val="24"/>
                <w:szCs w:val="24"/>
                <w:lang w:val="en-US" w:eastAsia="zh-CN"/>
              </w:rPr>
              <w:t>/d（</w:t>
            </w:r>
            <w:r>
              <w:rPr>
                <w:rFonts w:hint="eastAsia" w:cs="Times New Roman"/>
                <w:color w:val="auto"/>
                <w:sz w:val="24"/>
                <w:szCs w:val="24"/>
                <w:lang w:val="en-US" w:eastAsia="zh-CN"/>
              </w:rPr>
              <w:t>714</w:t>
            </w:r>
            <w:r>
              <w:rPr>
                <w:rFonts w:hint="default" w:cs="Times New Roman"/>
                <w:color w:val="auto"/>
                <w:sz w:val="24"/>
                <w:szCs w:val="24"/>
                <w:lang w:val="en-US" w:eastAsia="zh-CN"/>
              </w:rPr>
              <w:t>m</w:t>
            </w:r>
            <w:r>
              <w:rPr>
                <w:rFonts w:hint="default" w:cs="Times New Roman"/>
                <w:color w:val="auto"/>
                <w:sz w:val="24"/>
                <w:szCs w:val="24"/>
                <w:vertAlign w:val="superscript"/>
                <w:lang w:val="en-US" w:eastAsia="zh-CN"/>
              </w:rPr>
              <w:t>3</w:t>
            </w:r>
            <w:r>
              <w:rPr>
                <w:rFonts w:hint="default" w:cs="Times New Roman"/>
                <w:color w:val="auto"/>
                <w:sz w:val="24"/>
                <w:szCs w:val="24"/>
                <w:lang w:val="en-US" w:eastAsia="zh-CN"/>
              </w:rPr>
              <w:t>/a</w:t>
            </w:r>
            <w:r>
              <w:rPr>
                <w:rFonts w:hint="eastAsia" w:cs="Times New Roman"/>
                <w:color w:val="auto"/>
                <w:sz w:val="24"/>
                <w:szCs w:val="24"/>
                <w:lang w:val="en-US" w:eastAsia="zh-CN"/>
              </w:rPr>
              <w:t>）。</w:t>
            </w:r>
          </w:p>
          <w:p>
            <w:pPr>
              <w:pStyle w:val="41"/>
              <w:rPr>
                <w:rFonts w:hint="eastAsia"/>
                <w:color w:val="auto"/>
                <w:lang w:val="en-US" w:eastAsia="zh-CN"/>
              </w:rPr>
            </w:pPr>
            <w:r>
              <w:rPr>
                <w:rFonts w:hint="eastAsia"/>
                <w:color w:val="auto"/>
                <w:lang w:eastAsia="zh-CN"/>
              </w:rPr>
              <w:t>（</w:t>
            </w:r>
            <w:r>
              <w:rPr>
                <w:rFonts w:hint="eastAsia"/>
                <w:color w:val="auto"/>
                <w:lang w:val="en-US" w:eastAsia="zh-CN"/>
              </w:rPr>
              <w:t>7</w:t>
            </w:r>
            <w:r>
              <w:rPr>
                <w:rFonts w:hint="eastAsia"/>
                <w:color w:val="auto"/>
                <w:lang w:eastAsia="zh-CN"/>
              </w:rPr>
              <w:t>）</w:t>
            </w:r>
            <w:r>
              <w:rPr>
                <w:rFonts w:hint="eastAsia"/>
                <w:color w:val="auto"/>
                <w:lang w:val="en-US" w:eastAsia="zh-CN"/>
              </w:rPr>
              <w:t>锅炉补水</w:t>
            </w:r>
          </w:p>
          <w:p>
            <w:pPr>
              <w:bidi w:val="0"/>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lang w:val="en-US" w:eastAsia="zh-CN"/>
              </w:rPr>
              <w:t>锅炉使用纯水机制备纯水，锅炉蒸汽经冷凝后回到锅炉，</w:t>
            </w:r>
            <w:r>
              <w:rPr>
                <w:rFonts w:hint="eastAsia" w:cs="Times New Roman"/>
                <w:color w:val="auto"/>
                <w:lang w:val="en-US" w:eastAsia="zh-CN"/>
              </w:rPr>
              <w:t>冷凝水回收系统会有一定损失，损耗量按照蒸发量的5%计（1.2m</w:t>
            </w:r>
            <w:r>
              <w:rPr>
                <w:rFonts w:hint="eastAsia" w:cs="Times New Roman"/>
                <w:color w:val="auto"/>
                <w:vertAlign w:val="superscript"/>
                <w:lang w:val="en-US" w:eastAsia="zh-CN"/>
              </w:rPr>
              <w:t>3</w:t>
            </w:r>
            <w:r>
              <w:rPr>
                <w:rFonts w:hint="eastAsia" w:cs="Times New Roman"/>
                <w:color w:val="auto"/>
                <w:lang w:val="en-US" w:eastAsia="zh-CN"/>
              </w:rPr>
              <w:t>/d），同时</w:t>
            </w:r>
            <w:r>
              <w:rPr>
                <w:rFonts w:hint="default" w:ascii="Times New Roman" w:hAnsi="Times New Roman" w:eastAsia="宋体" w:cs="Times New Roman"/>
                <w:color w:val="auto"/>
                <w:lang w:val="en-US" w:eastAsia="zh-CN"/>
              </w:rPr>
              <w:t>根据《</w:t>
            </w:r>
            <w:r>
              <w:rPr>
                <w:rFonts w:ascii="宋体" w:hAnsi="宋体" w:eastAsia="宋体" w:cs="宋体"/>
                <w:color w:val="auto"/>
                <w:sz w:val="24"/>
                <w:szCs w:val="24"/>
              </w:rPr>
              <w:t>排放源统计调查产排污核算方法和系数手册</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中</w:t>
            </w:r>
            <w:r>
              <w:rPr>
                <w:rFonts w:hint="eastAsia" w:cs="Times New Roman"/>
                <w:color w:val="auto"/>
                <w:lang w:val="en-US" w:eastAsia="zh-CN"/>
              </w:rPr>
              <w:t>“</w:t>
            </w:r>
            <w:r>
              <w:rPr>
                <w:rFonts w:hint="default" w:ascii="Times New Roman" w:hAnsi="Times New Roman" w:eastAsia="宋体" w:cs="Times New Roman"/>
                <w:color w:val="auto"/>
              </w:rPr>
              <w:t>4430 工业锅炉（热力生产和供应行业）</w:t>
            </w:r>
            <w:r>
              <w:rPr>
                <w:rFonts w:hint="eastAsia" w:cs="Times New Roman"/>
                <w:color w:val="auto"/>
                <w:lang w:val="en-US" w:eastAsia="zh-CN"/>
              </w:rPr>
              <w:t>”</w:t>
            </w:r>
            <w:r>
              <w:rPr>
                <w:rFonts w:hint="default" w:ascii="Times New Roman" w:hAnsi="Times New Roman" w:eastAsia="宋体" w:cs="Times New Roman"/>
                <w:color w:val="auto"/>
                <w:lang w:val="en-US" w:eastAsia="zh-CN"/>
              </w:rPr>
              <w:t>，锅炉排污水产生量为9.8t</w:t>
            </w:r>
            <w:r>
              <w:rPr>
                <w:rFonts w:hint="default" w:ascii="Times New Roman" w:hAnsi="Times New Roman" w:eastAsia="宋体" w:cs="Times New Roman"/>
                <w:color w:val="auto"/>
              </w:rPr>
              <w:t>/万立方米-原料</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项目燃气</w:t>
            </w:r>
            <w:r>
              <w:rPr>
                <w:rFonts w:hint="eastAsia" w:ascii="宋体" w:hAnsi="宋体" w:cs="宋体"/>
                <w:color w:val="auto"/>
                <w:sz w:val="24"/>
                <w:szCs w:val="24"/>
                <w:lang w:val="en-US" w:eastAsia="zh-CN"/>
              </w:rPr>
              <w:t>消耗量</w:t>
            </w:r>
            <w:r>
              <w:rPr>
                <w:rFonts w:hint="eastAsia" w:ascii="Times New Roman" w:hAnsi="Times New Roman" w:cs="Times New Roman"/>
                <w:color w:val="auto"/>
                <w:sz w:val="24"/>
                <w:szCs w:val="24"/>
                <w:lang w:val="en-US" w:eastAsia="zh-CN"/>
              </w:rPr>
              <w:t>为</w:t>
            </w:r>
            <w:r>
              <w:rPr>
                <w:rFonts w:hint="eastAsia" w:cs="Times New Roman"/>
                <w:color w:val="auto"/>
                <w:sz w:val="24"/>
                <w:szCs w:val="24"/>
                <w:lang w:val="en-US" w:eastAsia="zh-CN"/>
              </w:rPr>
              <w:t>67.1</w:t>
            </w:r>
            <w:r>
              <w:rPr>
                <w:rFonts w:hint="default"/>
                <w:color w:val="auto"/>
              </w:rPr>
              <w:t>万</w:t>
            </w:r>
            <w:r>
              <w:rPr>
                <w:rFonts w:hint="eastAsia"/>
                <w:color w:val="auto"/>
                <w:lang w:val="en-US" w:eastAsia="zh-CN"/>
              </w:rPr>
              <w:t>m</w:t>
            </w:r>
            <w:r>
              <w:rPr>
                <w:rFonts w:hint="eastAsia"/>
                <w:color w:val="auto"/>
                <w:vertAlign w:val="superscript"/>
                <w:lang w:val="en-US" w:eastAsia="zh-CN"/>
              </w:rPr>
              <w:t>3</w:t>
            </w:r>
            <w:r>
              <w:rPr>
                <w:rFonts w:hint="eastAsia"/>
                <w:color w:val="auto"/>
                <w:lang w:eastAsia="zh-CN"/>
              </w:rPr>
              <w:t>，</w:t>
            </w:r>
            <w:r>
              <w:rPr>
                <w:rFonts w:hint="default" w:ascii="Times New Roman" w:hAnsi="Times New Roman" w:eastAsia="宋体" w:cs="Times New Roman"/>
                <w:color w:val="auto"/>
                <w:sz w:val="24"/>
                <w:szCs w:val="24"/>
                <w:lang w:val="en-US" w:eastAsia="zh-CN"/>
              </w:rPr>
              <w:t>则锅炉排污量为</w:t>
            </w:r>
            <w:r>
              <w:rPr>
                <w:rFonts w:hint="eastAsia" w:cs="Times New Roman"/>
                <w:color w:val="auto"/>
                <w:sz w:val="24"/>
                <w:szCs w:val="24"/>
                <w:lang w:val="en-US" w:eastAsia="zh-CN"/>
              </w:rPr>
              <w:t>657.6</w:t>
            </w:r>
            <w:r>
              <w:rPr>
                <w:rFonts w:hint="default" w:ascii="Times New Roman" w:hAnsi="Times New Roman" w:eastAsia="宋体" w:cs="Times New Roman"/>
                <w:color w:val="auto"/>
                <w:sz w:val="24"/>
                <w:szCs w:val="24"/>
                <w:lang w:val="en-US" w:eastAsia="zh-CN"/>
              </w:rPr>
              <w:t>t/a</w:t>
            </w:r>
            <w:r>
              <w:rPr>
                <w:rFonts w:hint="eastAsia" w:ascii="Times New Roman" w:hAnsi="Times New Roman" w:cs="Times New Roman"/>
                <w:color w:val="auto"/>
                <w:sz w:val="24"/>
                <w:szCs w:val="24"/>
                <w:lang w:val="en-US" w:eastAsia="zh-CN"/>
              </w:rPr>
              <w:t>（1.</w:t>
            </w:r>
            <w:r>
              <w:rPr>
                <w:rFonts w:hint="eastAsia" w:cs="Times New Roman"/>
                <w:color w:val="auto"/>
                <w:sz w:val="24"/>
                <w:szCs w:val="24"/>
                <w:lang w:val="en-US" w:eastAsia="zh-CN"/>
              </w:rPr>
              <w:t>8</w:t>
            </w:r>
            <w:r>
              <w:rPr>
                <w:rFonts w:hint="eastAsia" w:ascii="Times New Roman" w:hAnsi="Times New Roman" w:cs="Times New Roman"/>
                <w:color w:val="auto"/>
                <w:sz w:val="24"/>
                <w:szCs w:val="24"/>
                <w:lang w:val="en-US" w:eastAsia="zh-CN"/>
              </w:rPr>
              <w:t>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/d）。则锅炉补水量为</w:t>
            </w:r>
            <w:r>
              <w:rPr>
                <w:rFonts w:hint="eastAsia" w:cs="Times New Roman"/>
                <w:color w:val="auto"/>
                <w:sz w:val="24"/>
                <w:szCs w:val="24"/>
                <w:lang w:val="en-US" w:eastAsia="zh-CN"/>
              </w:rPr>
              <w:t>3.0</w:t>
            </w:r>
            <w:r>
              <w:rPr>
                <w:rFonts w:hint="eastAsia" w:ascii="Times New Roman" w:hAnsi="Times New Roman" w:cs="Times New Roman"/>
                <w:color w:val="auto"/>
                <w:sz w:val="24"/>
                <w:szCs w:val="24"/>
                <w:lang w:val="en-US" w:eastAsia="zh-CN"/>
              </w:rPr>
              <w:t>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w:t>
            </w:r>
            <w:r>
              <w:rPr>
                <w:rFonts w:hint="eastAsia" w:cs="Times New Roman"/>
                <w:color w:val="auto"/>
                <w:sz w:val="24"/>
                <w:szCs w:val="24"/>
                <w:lang w:val="en-US" w:eastAsia="zh-CN"/>
              </w:rPr>
              <w:t>。</w:t>
            </w:r>
          </w:p>
          <w:p>
            <w:pPr>
              <w:pStyle w:val="41"/>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）纯水制</w:t>
            </w:r>
            <w:r>
              <w:rPr>
                <w:rFonts w:hint="default" w:ascii="Times New Roman" w:hAnsi="Times New Roman" w:eastAsia="宋体" w:cs="Times New Roman"/>
                <w:color w:val="auto"/>
                <w:sz w:val="24"/>
                <w:szCs w:val="24"/>
                <w:highlight w:val="none"/>
                <w:lang w:val="en-US" w:eastAsia="zh-CN"/>
              </w:rPr>
              <w:t>备用水</w:t>
            </w:r>
          </w:p>
          <w:p>
            <w:pPr>
              <w:pStyle w:val="41"/>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项目锅炉补水及生产用水均使用纯水，项目使用纯水制备机，制备效率为70%，纯水使用量为</w:t>
            </w:r>
            <w:r>
              <w:rPr>
                <w:rFonts w:hint="eastAsia" w:cs="Times New Roman"/>
                <w:color w:val="auto"/>
                <w:sz w:val="24"/>
                <w:szCs w:val="24"/>
                <w:highlight w:val="none"/>
                <w:lang w:val="en-US" w:eastAsia="zh-CN"/>
              </w:rPr>
              <w:t>105.8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/d，则新鲜水用量为</w:t>
            </w:r>
            <w:r>
              <w:rPr>
                <w:rFonts w:hint="eastAsia" w:cs="Times New Roman"/>
                <w:color w:val="auto"/>
                <w:sz w:val="24"/>
                <w:szCs w:val="24"/>
                <w:highlight w:val="none"/>
                <w:lang w:val="en-US" w:eastAsia="zh-CN"/>
              </w:rPr>
              <w:t>151.1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w:t>
            </w:r>
          </w:p>
          <w:p>
            <w:pPr>
              <w:pStyle w:val="41"/>
              <w:rPr>
                <w:color w:val="auto"/>
                <w:highlight w:val="none"/>
              </w:r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lang w:eastAsia="zh-CN"/>
              </w:rPr>
              <w:t>）</w:t>
            </w:r>
            <w:r>
              <w:rPr>
                <w:color w:val="auto"/>
                <w:highlight w:val="none"/>
              </w:rPr>
              <w:t>生活用水</w:t>
            </w:r>
          </w:p>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项目劳动定员为</w:t>
            </w:r>
            <w:r>
              <w:rPr>
                <w:rFonts w:hint="eastAsia" w:ascii="Times New Roman" w:hAnsi="Times New Roman" w:eastAsia="宋体" w:cs="Times New Roman"/>
                <w:color w:val="auto"/>
                <w:sz w:val="24"/>
                <w:highlight w:val="none"/>
                <w:lang w:val="en-US" w:eastAsia="zh-CN"/>
              </w:rPr>
              <w:t>75</w:t>
            </w:r>
            <w:r>
              <w:rPr>
                <w:rFonts w:ascii="Times New Roman" w:hAnsi="Times New Roman" w:eastAsia="宋体" w:cs="Times New Roman"/>
                <w:color w:val="auto"/>
                <w:sz w:val="24"/>
                <w:highlight w:val="none"/>
              </w:rPr>
              <w:t>人，</w:t>
            </w:r>
            <w:r>
              <w:rPr>
                <w:rFonts w:hint="eastAsia" w:cs="Times New Roman"/>
                <w:color w:val="auto"/>
                <w:sz w:val="24"/>
                <w:highlight w:val="none"/>
                <w:lang w:val="en-US" w:eastAsia="zh-CN"/>
              </w:rPr>
              <w:t>仅</w:t>
            </w:r>
            <w:r>
              <w:rPr>
                <w:rFonts w:ascii="Times New Roman" w:hAnsi="Times New Roman" w:eastAsia="宋体" w:cs="Times New Roman"/>
                <w:color w:val="auto"/>
                <w:sz w:val="24"/>
                <w:highlight w:val="none"/>
              </w:rPr>
              <w:t>提供</w:t>
            </w:r>
            <w:r>
              <w:rPr>
                <w:rFonts w:hint="eastAsia" w:ascii="Times New Roman" w:hAnsi="Times New Roman" w:eastAsia="宋体" w:cs="Times New Roman"/>
                <w:color w:val="auto"/>
                <w:sz w:val="24"/>
                <w:highlight w:val="none"/>
                <w:lang w:val="en-US" w:eastAsia="zh-CN"/>
              </w:rPr>
              <w:t>午餐</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不提供住宿，</w:t>
            </w:r>
            <w:r>
              <w:rPr>
                <w:rFonts w:ascii="Times New Roman" w:hAnsi="Times New Roman" w:eastAsia="宋体" w:cs="Times New Roman"/>
                <w:color w:val="auto"/>
                <w:sz w:val="24"/>
                <w:highlight w:val="none"/>
              </w:rPr>
              <w:t>根据《甘肃省行业用水定额》（2023版），员工生活用水按</w:t>
            </w:r>
            <w:r>
              <w:rPr>
                <w:rFonts w:hint="eastAsia" w:cs="Times New Roman"/>
                <w:color w:val="auto"/>
                <w:sz w:val="24"/>
                <w:highlight w:val="none"/>
                <w:lang w:val="en-US" w:eastAsia="zh-CN"/>
              </w:rPr>
              <w:t>80</w:t>
            </w:r>
            <w:r>
              <w:rPr>
                <w:rFonts w:ascii="Times New Roman" w:hAnsi="Times New Roman" w:eastAsia="宋体" w:cs="Times New Roman"/>
                <w:color w:val="auto"/>
                <w:sz w:val="24"/>
                <w:highlight w:val="none"/>
              </w:rPr>
              <w:t>L/人·d计，生活用水量为</w:t>
            </w:r>
            <w:r>
              <w:rPr>
                <w:rFonts w:hint="eastAsia" w:cs="Times New Roman"/>
                <w:color w:val="auto"/>
                <w:sz w:val="24"/>
                <w:highlight w:val="none"/>
                <w:lang w:val="en-US" w:eastAsia="zh-CN"/>
              </w:rPr>
              <w:t>6</w:t>
            </w:r>
            <w:r>
              <w:rPr>
                <w:rFonts w:ascii="Times New Roman" w:hAnsi="Times New Roman" w:eastAsia="宋体" w:cs="Times New Roman"/>
                <w:color w:val="auto"/>
                <w:sz w:val="24"/>
                <w:highlight w:val="none"/>
              </w:rPr>
              <w:t>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/d（</w:t>
            </w:r>
            <w:r>
              <w:rPr>
                <w:rFonts w:hint="eastAsia" w:cs="Times New Roman"/>
                <w:color w:val="auto"/>
                <w:sz w:val="24"/>
                <w:highlight w:val="none"/>
                <w:lang w:val="en-US" w:eastAsia="zh-CN"/>
              </w:rPr>
              <w:t>2142</w:t>
            </w:r>
            <w:r>
              <w:rPr>
                <w:rFonts w:ascii="Times New Roman" w:hAnsi="Times New Roman" w:eastAsia="宋体" w:cs="Times New Roman"/>
                <w:color w:val="auto"/>
                <w:sz w:val="24"/>
                <w:highlight w:val="none"/>
              </w:rPr>
              <w:t>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/a）。</w:t>
            </w:r>
          </w:p>
          <w:p>
            <w:pPr>
              <w:spacing w:line="360" w:lineRule="auto"/>
              <w:ind w:firstLine="482"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5、排水</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项目产生的废水主要为生活污水、</w:t>
            </w:r>
            <w:r>
              <w:rPr>
                <w:rFonts w:hint="eastAsia" w:cs="Times New Roman"/>
                <w:color w:val="auto"/>
                <w:sz w:val="24"/>
                <w:lang w:val="en-US" w:eastAsia="zh-CN"/>
              </w:rPr>
              <w:t>生产废水（</w:t>
            </w:r>
            <w:r>
              <w:rPr>
                <w:rFonts w:hint="eastAsia" w:ascii="Times New Roman" w:hAnsi="Times New Roman" w:eastAsia="宋体" w:cs="Times New Roman"/>
                <w:color w:val="auto"/>
                <w:sz w:val="24"/>
                <w:lang w:val="en-US" w:eastAsia="zh-CN"/>
              </w:rPr>
              <w:t>原料清洗废水、设备清洗污水、甩干废水、漂烫废水、冷却清洗废水、</w:t>
            </w:r>
            <w:r>
              <w:rPr>
                <w:rFonts w:hint="eastAsia" w:cs="Times New Roman"/>
                <w:color w:val="auto"/>
                <w:sz w:val="24"/>
                <w:szCs w:val="24"/>
                <w:lang w:val="en-US" w:eastAsia="zh-CN"/>
              </w:rPr>
              <w:t>地面清洁废水</w:t>
            </w:r>
            <w:r>
              <w:rPr>
                <w:rFonts w:hint="eastAsia" w:cs="Times New Roman"/>
                <w:color w:val="auto"/>
                <w:sz w:val="24"/>
                <w:lang w:val="en-US" w:eastAsia="zh-CN"/>
              </w:rPr>
              <w:t>）</w:t>
            </w:r>
            <w:r>
              <w:rPr>
                <w:rFonts w:hint="eastAsia" w:cs="Times New Roman"/>
                <w:color w:val="auto"/>
                <w:sz w:val="24"/>
                <w:szCs w:val="24"/>
                <w:lang w:val="en-US" w:eastAsia="zh-CN"/>
              </w:rPr>
              <w:t>、</w:t>
            </w:r>
            <w:r>
              <w:rPr>
                <w:rFonts w:hint="eastAsia" w:ascii="Times New Roman" w:hAnsi="Times New Roman" w:eastAsia="宋体" w:cs="Times New Roman"/>
                <w:color w:val="auto"/>
                <w:sz w:val="24"/>
                <w:lang w:val="en-US" w:eastAsia="zh-CN"/>
              </w:rPr>
              <w:t>锅炉排污水、纯水制备废水</w:t>
            </w:r>
            <w:r>
              <w:rPr>
                <w:rFonts w:ascii="Times New Roman" w:hAnsi="Times New Roman" w:eastAsia="宋体" w:cs="Times New Roman"/>
                <w:color w:val="auto"/>
                <w:sz w:val="24"/>
              </w:rPr>
              <w:t>。</w:t>
            </w:r>
          </w:p>
          <w:p>
            <w:pPr>
              <w:spacing w:line="360" w:lineRule="auto"/>
              <w:ind w:firstLine="480" w:firstLineChars="200"/>
              <w:jc w:val="left"/>
              <w:rPr>
                <w:rFonts w:ascii="Times New Roman" w:hAnsi="Times New Roman" w:eastAsia="宋体" w:cs="Times New Roman"/>
                <w:color w:val="auto"/>
                <w:sz w:val="24"/>
              </w:rPr>
            </w:pPr>
            <w:r>
              <w:rPr>
                <w:rFonts w:ascii="Times New Roman" w:hAnsi="Times New Roman" w:eastAsia="宋体" w:cs="Times New Roman"/>
                <w:color w:val="auto"/>
                <w:sz w:val="24"/>
              </w:rPr>
              <w:t>（1）生活污水</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ascii="Times New Roman" w:hAnsi="Times New Roman" w:eastAsia="宋体" w:cs="Times New Roman"/>
                <w:color w:val="auto"/>
                <w:sz w:val="24"/>
              </w:rPr>
              <w:t>生活污水产生量按照用水量的80%计算，则</w:t>
            </w:r>
            <w:r>
              <w:rPr>
                <w:rFonts w:hint="eastAsia" w:ascii="Times New Roman" w:hAnsi="Times New Roman" w:eastAsia="宋体" w:cs="Times New Roman"/>
                <w:color w:val="auto"/>
                <w:sz w:val="24"/>
              </w:rPr>
              <w:t>项目</w:t>
            </w:r>
            <w:r>
              <w:rPr>
                <w:rFonts w:ascii="Times New Roman" w:hAnsi="Times New Roman" w:eastAsia="宋体" w:cs="Times New Roman"/>
                <w:color w:val="auto"/>
                <w:sz w:val="24"/>
              </w:rPr>
              <w:t>生活污水产生量为</w:t>
            </w:r>
            <w:r>
              <w:rPr>
                <w:rFonts w:hint="eastAsia" w:cs="Times New Roman"/>
                <w:color w:val="auto"/>
                <w:sz w:val="24"/>
                <w:lang w:val="en-US" w:eastAsia="zh-CN"/>
              </w:rPr>
              <w:t>4</w:t>
            </w:r>
            <w:r>
              <w:rPr>
                <w:rFonts w:hint="eastAsia" w:ascii="Times New Roman" w:hAnsi="Times New Roman" w:eastAsia="宋体" w:cs="Times New Roman"/>
                <w:color w:val="auto"/>
                <w:sz w:val="24"/>
                <w:lang w:val="en-US" w:eastAsia="zh-CN"/>
              </w:rPr>
              <w:t>.8</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w:t>
            </w:r>
            <w:r>
              <w:rPr>
                <w:rFonts w:hint="eastAsia" w:cs="Times New Roman"/>
                <w:color w:val="auto"/>
                <w:sz w:val="24"/>
                <w:lang w:val="en-US" w:eastAsia="zh-CN"/>
              </w:rPr>
              <w:t>1713</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r>
              <w:rPr>
                <w:rFonts w:hint="eastAsia" w:ascii="Times New Roman" w:hAnsi="Times New Roman" w:eastAsia="宋体" w:cs="Times New Roman"/>
                <w:color w:val="auto"/>
                <w:sz w:val="24"/>
                <w:lang w:val="en-US" w:eastAsia="zh-CN"/>
              </w:rPr>
              <w:t>产生后经化粪池处理后排入</w:t>
            </w:r>
            <w:r>
              <w:rPr>
                <w:rFonts w:hint="eastAsia" w:cs="Times New Roman"/>
                <w:color w:val="auto"/>
                <w:sz w:val="24"/>
                <w:lang w:val="en-US" w:eastAsia="zh-CN"/>
              </w:rPr>
              <w:t>园区污水</w:t>
            </w:r>
            <w:r>
              <w:rPr>
                <w:rFonts w:hint="eastAsia" w:ascii="Times New Roman" w:hAnsi="Times New Roman" w:eastAsia="宋体" w:cs="Times New Roman"/>
                <w:color w:val="auto"/>
                <w:sz w:val="24"/>
                <w:lang w:val="en-US" w:eastAsia="zh-CN"/>
              </w:rPr>
              <w:t>管网。</w:t>
            </w:r>
          </w:p>
          <w:p>
            <w:pPr>
              <w:spacing w:line="360" w:lineRule="auto"/>
              <w:ind w:firstLine="480" w:firstLineChars="200"/>
              <w:jc w:val="left"/>
              <w:rPr>
                <w:rFonts w:hint="default" w:ascii="Times New Roman" w:hAnsi="Times New Roman" w:eastAsia="宋体" w:cs="Times New Roman"/>
                <w:color w:val="auto"/>
                <w:sz w:val="24"/>
                <w:lang w:val="en-US" w:eastAsia="zh-CN"/>
              </w:rPr>
            </w:pP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2</w:t>
            </w: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生产废水</w:t>
            </w:r>
          </w:p>
          <w:p>
            <w:pPr>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A</w:t>
            </w:r>
            <w:r>
              <w:rPr>
                <w:rFonts w:hint="eastAsia" w:ascii="Times New Roman" w:hAnsi="Times New Roman" w:eastAsia="宋体" w:cs="Times New Roman"/>
                <w:color w:val="auto"/>
                <w:sz w:val="24"/>
                <w:lang w:val="en-US" w:eastAsia="zh-CN"/>
              </w:rPr>
              <w:t>原料清洗污水</w:t>
            </w:r>
          </w:p>
          <w:p>
            <w:pPr>
              <w:bidi w:val="0"/>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sz w:val="24"/>
                <w:lang w:val="en-US" w:eastAsia="zh-CN"/>
              </w:rPr>
              <w:t>原料清洗污水</w:t>
            </w:r>
            <w:r>
              <w:rPr>
                <w:rFonts w:hint="eastAsia" w:ascii="Times New Roman" w:hAnsi="Times New Roman" w:eastAsia="宋体" w:cs="Times New Roman"/>
                <w:color w:val="auto"/>
                <w:lang w:val="en-US" w:eastAsia="zh-CN"/>
              </w:rPr>
              <w:t>产生量按照用水量的80%计算，则原料清洗污水量为</w:t>
            </w:r>
            <w:r>
              <w:rPr>
                <w:rFonts w:hint="eastAsia" w:cs="Times New Roman"/>
                <w:color w:val="auto"/>
                <w:lang w:val="en-US" w:eastAsia="zh-CN"/>
              </w:rPr>
              <w:t>8.4</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/d（</w:t>
            </w:r>
            <w:r>
              <w:rPr>
                <w:rFonts w:hint="eastAsia" w:cs="Times New Roman"/>
                <w:color w:val="auto"/>
                <w:lang w:val="en-US" w:eastAsia="zh-CN"/>
              </w:rPr>
              <w:t>2999</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/a），产生后的污水经设置的</w:t>
            </w:r>
            <w:r>
              <w:rPr>
                <w:rFonts w:hint="eastAsia" w:cs="Times New Roman"/>
                <w:color w:val="auto"/>
                <w:lang w:val="en-US" w:eastAsia="zh-CN"/>
              </w:rPr>
              <w:t>地埋一体式污水处理设备</w:t>
            </w:r>
            <w:r>
              <w:rPr>
                <w:rFonts w:hint="eastAsia" w:ascii="Times New Roman" w:hAnsi="Times New Roman" w:eastAsia="宋体" w:cs="Times New Roman"/>
                <w:color w:val="auto"/>
                <w:lang w:val="en-US" w:eastAsia="zh-CN"/>
              </w:rPr>
              <w:t>处理后排入</w:t>
            </w:r>
            <w:r>
              <w:rPr>
                <w:rFonts w:hint="eastAsia" w:cs="Times New Roman"/>
                <w:color w:val="auto"/>
                <w:lang w:val="en-US" w:eastAsia="zh-CN"/>
              </w:rPr>
              <w:t>园区</w:t>
            </w:r>
            <w:r>
              <w:rPr>
                <w:rFonts w:hint="eastAsia" w:ascii="Times New Roman" w:hAnsi="Times New Roman" w:eastAsia="宋体" w:cs="Times New Roman"/>
                <w:color w:val="auto"/>
                <w:lang w:val="en-US" w:eastAsia="zh-CN"/>
              </w:rPr>
              <w:t>污水管网。</w:t>
            </w:r>
          </w:p>
          <w:p>
            <w:pPr>
              <w:spacing w:line="360" w:lineRule="auto"/>
              <w:ind w:firstLine="480" w:firstLineChars="200"/>
              <w:jc w:val="left"/>
              <w:rPr>
                <w:rFonts w:hint="eastAsia" w:ascii="Times New Roman" w:hAnsi="Times New Roman" w:eastAsia="宋体" w:cs="Times New Roman"/>
                <w:color w:val="auto"/>
                <w:sz w:val="24"/>
              </w:rPr>
            </w:pPr>
            <w:r>
              <w:rPr>
                <w:rFonts w:hint="eastAsia" w:cs="Times New Roman"/>
                <w:color w:val="auto"/>
                <w:sz w:val="24"/>
                <w:lang w:val="en-US" w:eastAsia="zh-CN"/>
              </w:rPr>
              <w:t>B</w:t>
            </w:r>
            <w:r>
              <w:rPr>
                <w:rFonts w:hint="eastAsia" w:ascii="Times New Roman" w:hAnsi="Times New Roman" w:eastAsia="宋体" w:cs="Times New Roman"/>
                <w:color w:val="auto"/>
                <w:sz w:val="24"/>
                <w:lang w:val="en-US" w:eastAsia="zh-CN"/>
              </w:rPr>
              <w:t>设备清洗污水</w:t>
            </w:r>
          </w:p>
          <w:p>
            <w:pPr>
              <w:pStyle w:val="41"/>
              <w:ind w:left="0" w:leftChars="0" w:firstLine="480" w:firstLineChars="200"/>
              <w:rPr>
                <w:rFonts w:hint="eastAsia" w:ascii="Times New Roman" w:eastAsia="宋体"/>
                <w:color w:val="auto"/>
                <w:lang w:val="en-US" w:eastAsia="zh-CN"/>
              </w:rPr>
            </w:pPr>
            <w:r>
              <w:rPr>
                <w:rFonts w:hint="eastAsia" w:ascii="Times New Roman" w:hAnsi="Times New Roman" w:eastAsia="宋体" w:cs="Times New Roman"/>
                <w:color w:val="auto"/>
                <w:lang w:val="en-US" w:eastAsia="zh-CN"/>
              </w:rPr>
              <w:t>设备清洗污水产生量按照用水量的80%计算，则设备清洗污水量为3.7m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/d（1308m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/a），产生后的污水</w:t>
            </w:r>
            <w:r>
              <w:rPr>
                <w:rFonts w:hint="eastAsia" w:ascii="Times New Roman" w:eastAsia="宋体"/>
                <w:color w:val="auto"/>
                <w:lang w:val="en-US" w:eastAsia="zh-CN"/>
              </w:rPr>
              <w:t>排入</w:t>
            </w:r>
            <w:r>
              <w:rPr>
                <w:rFonts w:hint="eastAsia" w:cs="Times New Roman"/>
                <w:color w:val="auto"/>
                <w:lang w:val="en-US" w:eastAsia="zh-CN"/>
              </w:rPr>
              <w:t>地埋一体式污水处理设备</w:t>
            </w:r>
            <w:r>
              <w:rPr>
                <w:rFonts w:hint="eastAsia" w:ascii="Times New Roman" w:eastAsia="宋体"/>
                <w:color w:val="auto"/>
                <w:lang w:val="en-US" w:eastAsia="zh-CN"/>
              </w:rPr>
              <w:t>处理。</w:t>
            </w:r>
          </w:p>
          <w:p>
            <w:pPr>
              <w:pStyle w:val="41"/>
              <w:ind w:left="0" w:leftChars="0" w:firstLine="480" w:firstLineChars="200"/>
              <w:rPr>
                <w:rFonts w:hint="eastAsia"/>
                <w:color w:val="auto"/>
                <w:lang w:val="en-US" w:eastAsia="zh-CN"/>
              </w:rPr>
            </w:pPr>
            <w:r>
              <w:rPr>
                <w:rFonts w:hint="eastAsia"/>
                <w:color w:val="auto"/>
                <w:lang w:val="en-US" w:eastAsia="zh-CN"/>
              </w:rPr>
              <w:t>C漂烫设备废水</w:t>
            </w:r>
          </w:p>
          <w:p>
            <w:pPr>
              <w:pStyle w:val="41"/>
              <w:ind w:left="0" w:leftChars="0" w:firstLine="480" w:firstLineChars="200"/>
              <w:rPr>
                <w:rFonts w:hint="eastAsia" w:ascii="Times New Roman" w:eastAsia="宋体"/>
                <w:color w:val="auto"/>
                <w:lang w:val="en-US" w:eastAsia="zh-CN"/>
              </w:rPr>
            </w:pPr>
            <w:r>
              <w:rPr>
                <w:rFonts w:hint="eastAsia"/>
                <w:color w:val="auto"/>
                <w:lang w:val="en-US" w:eastAsia="zh-CN"/>
              </w:rPr>
              <w:t>漂烫机在每日工作结束后，将</w:t>
            </w:r>
            <w:r>
              <w:rPr>
                <w:rFonts w:hint="eastAsia" w:ascii="Times New Roman" w:eastAsia="宋体"/>
                <w:color w:val="auto"/>
                <w:lang w:val="en-US" w:eastAsia="zh-CN"/>
              </w:rPr>
              <w:t>漂烫水槽</w:t>
            </w:r>
            <w:r>
              <w:rPr>
                <w:rFonts w:hint="eastAsia"/>
                <w:color w:val="auto"/>
                <w:lang w:val="en-US" w:eastAsia="zh-CN"/>
              </w:rPr>
              <w:t>中的水全部排出进行清洗，废水量为2m</w:t>
            </w:r>
            <w:r>
              <w:rPr>
                <w:rFonts w:hint="eastAsia"/>
                <w:color w:val="auto"/>
                <w:vertAlign w:val="superscript"/>
                <w:lang w:val="en-US" w:eastAsia="zh-CN"/>
              </w:rPr>
              <w:t>3</w:t>
            </w:r>
            <w:r>
              <w:rPr>
                <w:rFonts w:hint="eastAsia"/>
                <w:color w:val="auto"/>
                <w:lang w:val="en-US" w:eastAsia="zh-CN"/>
              </w:rPr>
              <w:t>/d（714m</w:t>
            </w:r>
            <w:r>
              <w:rPr>
                <w:rFonts w:hint="eastAsia"/>
                <w:color w:val="auto"/>
                <w:vertAlign w:val="superscript"/>
                <w:lang w:val="en-US" w:eastAsia="zh-CN"/>
              </w:rPr>
              <w:t>3</w:t>
            </w:r>
            <w:r>
              <w:rPr>
                <w:rFonts w:hint="eastAsia"/>
                <w:color w:val="auto"/>
                <w:lang w:val="en-US" w:eastAsia="zh-CN"/>
              </w:rPr>
              <w:t>/a）。</w:t>
            </w:r>
            <w:r>
              <w:rPr>
                <w:rFonts w:hint="eastAsia" w:ascii="Times New Roman" w:eastAsia="宋体"/>
                <w:color w:val="auto"/>
                <w:lang w:val="en-US" w:eastAsia="zh-CN"/>
              </w:rPr>
              <w:t>主要污染物为COD</w:t>
            </w:r>
            <w:r>
              <w:rPr>
                <w:rFonts w:hint="eastAsia"/>
                <w:color w:val="auto"/>
                <w:lang w:val="en-US" w:eastAsia="zh-CN"/>
              </w:rPr>
              <w:t>、</w:t>
            </w:r>
            <w:r>
              <w:rPr>
                <w:rFonts w:hint="eastAsia" w:ascii="Times New Roman" w:eastAsia="宋体"/>
                <w:color w:val="auto"/>
                <w:lang w:val="en-US" w:eastAsia="zh-CN"/>
              </w:rPr>
              <w:t>BOD</w:t>
            </w:r>
            <w:r>
              <w:rPr>
                <w:rFonts w:hint="eastAsia" w:ascii="Times New Roman" w:eastAsia="宋体"/>
                <w:color w:val="auto"/>
                <w:vertAlign w:val="subscript"/>
                <w:lang w:val="en-US" w:eastAsia="zh-CN"/>
              </w:rPr>
              <w:t>5</w:t>
            </w:r>
            <w:r>
              <w:rPr>
                <w:rFonts w:hint="eastAsia"/>
                <w:color w:val="auto"/>
                <w:lang w:val="en-US" w:eastAsia="zh-CN"/>
              </w:rPr>
              <w:t>、</w:t>
            </w:r>
            <w:r>
              <w:rPr>
                <w:rFonts w:hint="eastAsia" w:ascii="Times New Roman" w:eastAsia="宋体"/>
                <w:color w:val="auto"/>
                <w:lang w:val="en-US" w:eastAsia="zh-CN"/>
              </w:rPr>
              <w:t>SS，排入</w:t>
            </w:r>
            <w:r>
              <w:rPr>
                <w:rFonts w:hint="eastAsia" w:cs="Times New Roman"/>
                <w:color w:val="auto"/>
                <w:lang w:val="en-US" w:eastAsia="zh-CN"/>
              </w:rPr>
              <w:t>地埋一体式污水处理设备</w:t>
            </w:r>
            <w:r>
              <w:rPr>
                <w:rFonts w:hint="eastAsia" w:ascii="Times New Roman" w:eastAsia="宋体"/>
                <w:color w:val="auto"/>
                <w:lang w:val="en-US" w:eastAsia="zh-CN"/>
              </w:rPr>
              <w:t>处理。</w:t>
            </w:r>
          </w:p>
          <w:p>
            <w:pPr>
              <w:pStyle w:val="41"/>
              <w:ind w:left="0" w:leftChars="0" w:firstLine="480" w:firstLineChars="200"/>
              <w:rPr>
                <w:rFonts w:hint="eastAsia"/>
                <w:color w:val="auto"/>
                <w:highlight w:val="none"/>
                <w:lang w:val="en-US" w:eastAsia="zh-CN"/>
              </w:rPr>
            </w:pPr>
            <w:r>
              <w:rPr>
                <w:rFonts w:hint="eastAsia"/>
                <w:color w:val="auto"/>
                <w:highlight w:val="none"/>
                <w:lang w:val="en-US" w:eastAsia="zh-CN"/>
              </w:rPr>
              <w:t>D冷却清洗废水</w:t>
            </w:r>
          </w:p>
          <w:p>
            <w:pPr>
              <w:pStyle w:val="41"/>
              <w:ind w:left="0" w:leftChars="0" w:firstLine="480" w:firstLineChars="200"/>
              <w:rPr>
                <w:rFonts w:hint="default"/>
                <w:color w:val="auto"/>
                <w:highlight w:val="none"/>
                <w:lang w:val="en-US" w:eastAsia="zh-CN"/>
              </w:rPr>
            </w:pPr>
            <w:r>
              <w:rPr>
                <w:rFonts w:hint="eastAsia" w:ascii="Times New Roman" w:eastAsia="宋体"/>
                <w:color w:val="auto"/>
                <w:highlight w:val="none"/>
                <w:lang w:val="en-US" w:eastAsia="zh-CN"/>
              </w:rPr>
              <w:t>冷却清洗</w:t>
            </w:r>
            <w:r>
              <w:rPr>
                <w:rFonts w:hint="eastAsia"/>
                <w:color w:val="auto"/>
                <w:highlight w:val="none"/>
                <w:lang w:val="en-US" w:eastAsia="zh-CN"/>
              </w:rPr>
              <w:t>废水工作结束后全部排出，废水产生量为2m</w:t>
            </w:r>
            <w:r>
              <w:rPr>
                <w:rFonts w:hint="eastAsia"/>
                <w:color w:val="auto"/>
                <w:highlight w:val="none"/>
                <w:vertAlign w:val="superscript"/>
                <w:lang w:val="en-US" w:eastAsia="zh-CN"/>
              </w:rPr>
              <w:t>3</w:t>
            </w:r>
            <w:r>
              <w:rPr>
                <w:rFonts w:hint="eastAsia"/>
                <w:color w:val="auto"/>
                <w:highlight w:val="none"/>
                <w:lang w:val="en-US" w:eastAsia="zh-CN"/>
              </w:rPr>
              <w:t>/d，</w:t>
            </w:r>
            <w:r>
              <w:rPr>
                <w:rFonts w:hint="eastAsia" w:ascii="Times New Roman" w:eastAsia="宋体"/>
                <w:color w:val="auto"/>
                <w:highlight w:val="none"/>
                <w:lang w:val="en-US" w:eastAsia="zh-CN"/>
              </w:rPr>
              <w:t>主要污染物为COD</w:t>
            </w:r>
            <w:r>
              <w:rPr>
                <w:rFonts w:hint="eastAsia"/>
                <w:color w:val="auto"/>
                <w:highlight w:val="none"/>
                <w:lang w:val="en-US" w:eastAsia="zh-CN"/>
              </w:rPr>
              <w:t>、</w:t>
            </w:r>
            <w:r>
              <w:rPr>
                <w:rFonts w:hint="eastAsia" w:ascii="Times New Roman" w:eastAsia="宋体"/>
                <w:color w:val="auto"/>
                <w:highlight w:val="none"/>
                <w:lang w:val="en-US" w:eastAsia="zh-CN"/>
              </w:rPr>
              <w:t>BOD</w:t>
            </w:r>
            <w:r>
              <w:rPr>
                <w:rFonts w:hint="eastAsia" w:ascii="Times New Roman" w:eastAsia="宋体"/>
                <w:color w:val="auto"/>
                <w:highlight w:val="none"/>
                <w:vertAlign w:val="subscript"/>
                <w:lang w:val="en-US" w:eastAsia="zh-CN"/>
              </w:rPr>
              <w:t>5</w:t>
            </w:r>
            <w:r>
              <w:rPr>
                <w:rFonts w:hint="eastAsia"/>
                <w:color w:val="auto"/>
                <w:highlight w:val="none"/>
                <w:lang w:val="en-US" w:eastAsia="zh-CN"/>
              </w:rPr>
              <w:t>、</w:t>
            </w:r>
            <w:r>
              <w:rPr>
                <w:rFonts w:hint="eastAsia" w:ascii="Times New Roman" w:eastAsia="宋体"/>
                <w:color w:val="auto"/>
                <w:highlight w:val="none"/>
                <w:lang w:val="en-US" w:eastAsia="zh-CN"/>
              </w:rPr>
              <w:t>SS</w:t>
            </w:r>
            <w:r>
              <w:rPr>
                <w:rFonts w:hint="eastAsia"/>
                <w:color w:val="auto"/>
                <w:highlight w:val="none"/>
                <w:lang w:val="en-US" w:eastAsia="zh-CN"/>
              </w:rPr>
              <w:t>，排入地埋式污水处理设备处理。</w:t>
            </w:r>
          </w:p>
          <w:p>
            <w:pPr>
              <w:pStyle w:val="41"/>
              <w:ind w:left="0" w:leftChars="0" w:firstLine="480" w:firstLineChars="200"/>
              <w:rPr>
                <w:rFonts w:hint="eastAsia"/>
                <w:color w:val="auto"/>
                <w:lang w:val="en-US" w:eastAsia="zh-CN"/>
              </w:rPr>
            </w:pPr>
            <w:r>
              <w:rPr>
                <w:rFonts w:hint="eastAsia"/>
                <w:color w:val="auto"/>
                <w:lang w:val="en-US" w:eastAsia="zh-CN"/>
              </w:rPr>
              <w:t>E甩干废水</w:t>
            </w:r>
          </w:p>
          <w:p>
            <w:pPr>
              <w:pStyle w:val="41"/>
              <w:ind w:left="0" w:leftChars="0" w:firstLine="480" w:firstLineChars="200"/>
              <w:rPr>
                <w:rFonts w:hint="default"/>
                <w:color w:val="auto"/>
                <w:lang w:val="en-US" w:eastAsia="zh-CN"/>
              </w:rPr>
            </w:pPr>
            <w:r>
              <w:rPr>
                <w:rFonts w:hint="eastAsia"/>
                <w:color w:val="auto"/>
                <w:lang w:val="en-US" w:eastAsia="zh-CN"/>
              </w:rPr>
              <w:t>蔬菜经漂烫、冷却后水分较大，需进行甩干，该部分水主要为漂烫阶段带入，根据估算，甩干废水的产生量为1.1m</w:t>
            </w:r>
            <w:r>
              <w:rPr>
                <w:rFonts w:hint="eastAsia"/>
                <w:color w:val="auto"/>
                <w:vertAlign w:val="superscript"/>
                <w:lang w:val="en-US" w:eastAsia="zh-CN"/>
              </w:rPr>
              <w:t>3</w:t>
            </w:r>
            <w:r>
              <w:rPr>
                <w:rFonts w:hint="eastAsia"/>
                <w:color w:val="auto"/>
                <w:lang w:val="en-US" w:eastAsia="zh-CN"/>
              </w:rPr>
              <w:t>/d（392.7m</w:t>
            </w:r>
            <w:r>
              <w:rPr>
                <w:rFonts w:hint="eastAsia"/>
                <w:color w:val="auto"/>
                <w:vertAlign w:val="superscript"/>
                <w:lang w:val="en-US" w:eastAsia="zh-CN"/>
              </w:rPr>
              <w:t>3</w:t>
            </w:r>
            <w:r>
              <w:rPr>
                <w:rFonts w:hint="eastAsia"/>
                <w:color w:val="auto"/>
                <w:lang w:val="en-US" w:eastAsia="zh-CN"/>
              </w:rPr>
              <w:t>/a），产生后排入地埋一体式污水处理站处理后排入园区污水管网。</w:t>
            </w:r>
          </w:p>
          <w:p>
            <w:pPr>
              <w:pStyle w:val="41"/>
              <w:ind w:left="0" w:leftChars="0" w:firstLine="480" w:firstLineChars="200"/>
              <w:rPr>
                <w:rFonts w:hint="default" w:cs="Times New Roman"/>
                <w:color w:val="auto"/>
                <w:sz w:val="24"/>
                <w:szCs w:val="24"/>
                <w:lang w:val="en-US" w:eastAsia="zh-CN"/>
              </w:rPr>
            </w:pPr>
            <w:r>
              <w:rPr>
                <w:rFonts w:hint="eastAsia"/>
                <w:color w:val="auto"/>
                <w:lang w:val="en-US" w:eastAsia="zh-CN"/>
              </w:rPr>
              <w:t>F生产车间地面清洁废水</w:t>
            </w:r>
          </w:p>
          <w:p>
            <w:pPr>
              <w:pStyle w:val="41"/>
              <w:ind w:left="0" w:leftChars="0" w:firstLine="480" w:firstLineChars="200"/>
              <w:rPr>
                <w:rFonts w:hint="default"/>
                <w:color w:val="auto"/>
                <w:lang w:val="en-US" w:eastAsia="zh-CN"/>
              </w:rPr>
            </w:pPr>
            <w:r>
              <w:rPr>
                <w:rFonts w:hint="eastAsia" w:cs="Times New Roman"/>
                <w:color w:val="auto"/>
                <w:sz w:val="24"/>
                <w:szCs w:val="24"/>
                <w:lang w:val="en-US" w:eastAsia="zh-CN"/>
              </w:rPr>
              <w:t>地面清洁废水</w:t>
            </w:r>
            <w:r>
              <w:rPr>
                <w:rFonts w:hint="default" w:cs="Times New Roman"/>
                <w:color w:val="auto"/>
                <w:sz w:val="24"/>
                <w:szCs w:val="24"/>
                <w:lang w:val="en-US" w:eastAsia="zh-CN"/>
              </w:rPr>
              <w:t>产排污系数按照0.8计，则地面清洗废水产生量为1.6m</w:t>
            </w:r>
            <w:r>
              <w:rPr>
                <w:rFonts w:hint="default" w:cs="Times New Roman"/>
                <w:color w:val="auto"/>
                <w:sz w:val="24"/>
                <w:szCs w:val="24"/>
                <w:vertAlign w:val="superscript"/>
                <w:lang w:val="en-US" w:eastAsia="zh-CN"/>
              </w:rPr>
              <w:t>3</w:t>
            </w:r>
            <w:r>
              <w:rPr>
                <w:rFonts w:hint="default" w:cs="Times New Roman"/>
                <w:color w:val="auto"/>
                <w:sz w:val="24"/>
                <w:szCs w:val="24"/>
                <w:lang w:val="en-US" w:eastAsia="zh-CN"/>
              </w:rPr>
              <w:t>/d（</w:t>
            </w:r>
            <w:r>
              <w:rPr>
                <w:rFonts w:hint="eastAsia" w:cs="Times New Roman"/>
                <w:color w:val="auto"/>
                <w:sz w:val="24"/>
                <w:szCs w:val="24"/>
                <w:lang w:val="en-US" w:eastAsia="zh-CN"/>
              </w:rPr>
              <w:t>571</w:t>
            </w:r>
            <w:r>
              <w:rPr>
                <w:rFonts w:hint="default" w:cs="Times New Roman"/>
                <w:color w:val="auto"/>
                <w:sz w:val="24"/>
                <w:szCs w:val="24"/>
                <w:lang w:val="en-US" w:eastAsia="zh-CN"/>
              </w:rPr>
              <w:t>m</w:t>
            </w:r>
            <w:r>
              <w:rPr>
                <w:rFonts w:hint="default" w:cs="Times New Roman"/>
                <w:color w:val="auto"/>
                <w:sz w:val="24"/>
                <w:szCs w:val="24"/>
                <w:vertAlign w:val="superscript"/>
                <w:lang w:val="en-US" w:eastAsia="zh-CN"/>
              </w:rPr>
              <w:t>3</w:t>
            </w:r>
            <w:r>
              <w:rPr>
                <w:rFonts w:hint="default" w:cs="Times New Roman"/>
                <w:color w:val="auto"/>
                <w:sz w:val="24"/>
                <w:szCs w:val="24"/>
                <w:lang w:val="en-US" w:eastAsia="zh-CN"/>
              </w:rPr>
              <w:t>/a），主要污染物为</w:t>
            </w:r>
            <w:r>
              <w:rPr>
                <w:rFonts w:hint="eastAsia" w:ascii="Times New Roman" w:eastAsia="宋体"/>
                <w:color w:val="auto"/>
                <w:lang w:val="en-US" w:eastAsia="zh-CN"/>
              </w:rPr>
              <w:t>COD</w:t>
            </w:r>
            <w:r>
              <w:rPr>
                <w:rFonts w:hint="eastAsia"/>
                <w:color w:val="auto"/>
                <w:lang w:val="en-US" w:eastAsia="zh-CN"/>
              </w:rPr>
              <w:t>、</w:t>
            </w:r>
            <w:r>
              <w:rPr>
                <w:rFonts w:hint="eastAsia" w:ascii="Times New Roman" w:eastAsia="宋体"/>
                <w:color w:val="auto"/>
                <w:lang w:val="en-US" w:eastAsia="zh-CN"/>
              </w:rPr>
              <w:t>BOD</w:t>
            </w:r>
            <w:r>
              <w:rPr>
                <w:rFonts w:hint="eastAsia" w:ascii="Times New Roman" w:eastAsia="宋体"/>
                <w:color w:val="auto"/>
                <w:vertAlign w:val="subscript"/>
                <w:lang w:val="en-US" w:eastAsia="zh-CN"/>
              </w:rPr>
              <w:t>5</w:t>
            </w:r>
            <w:r>
              <w:rPr>
                <w:rFonts w:hint="eastAsia"/>
                <w:color w:val="auto"/>
                <w:vertAlign w:val="subscript"/>
                <w:lang w:val="en-US" w:eastAsia="zh-CN"/>
              </w:rPr>
              <w:t>、</w:t>
            </w:r>
            <w:r>
              <w:rPr>
                <w:rFonts w:hint="eastAsia" w:ascii="Times New Roman" w:eastAsia="宋体"/>
                <w:color w:val="auto"/>
                <w:lang w:val="en-US" w:eastAsia="zh-CN"/>
              </w:rPr>
              <w:t>SS</w:t>
            </w:r>
            <w:r>
              <w:rPr>
                <w:rFonts w:hint="default" w:cs="Times New Roman"/>
                <w:color w:val="auto"/>
                <w:sz w:val="24"/>
                <w:szCs w:val="24"/>
                <w:lang w:val="en-US" w:eastAsia="zh-CN"/>
              </w:rPr>
              <w:t>，</w:t>
            </w:r>
            <w:r>
              <w:rPr>
                <w:rFonts w:hint="eastAsia" w:ascii="Times New Roman" w:eastAsia="宋体"/>
                <w:color w:val="auto"/>
                <w:lang w:val="en-US" w:eastAsia="zh-CN"/>
              </w:rPr>
              <w:t>排入地埋一体式污水处理站</w:t>
            </w:r>
            <w:r>
              <w:rPr>
                <w:rFonts w:hint="eastAsia"/>
                <w:color w:val="auto"/>
                <w:lang w:val="en-US" w:eastAsia="zh-CN"/>
              </w:rPr>
              <w:t>进行处理后排入园区污水管网。</w:t>
            </w:r>
          </w:p>
          <w:p>
            <w:pPr>
              <w:ind w:firstLine="480" w:firstLineChars="200"/>
              <w:rPr>
                <w:rFonts w:hint="eastAsia" w:ascii="Times New Roman" w:hAnsi="Times New Roman" w:eastAsia="宋体" w:cs="Times New Roman"/>
                <w:color w:val="auto"/>
                <w:shd w:val="clear" w:color="auto" w:fill="auto"/>
                <w:lang w:val="en-US" w:eastAsia="zh-CN"/>
              </w:rPr>
            </w:pPr>
            <w:r>
              <w:rPr>
                <w:rFonts w:hint="eastAsia" w:ascii="Times New Roman" w:hAnsi="Times New Roman" w:eastAsia="宋体" w:cs="Times New Roman"/>
                <w:color w:val="auto"/>
                <w:shd w:val="clear" w:color="auto" w:fill="auto"/>
                <w:lang w:val="en-US" w:eastAsia="zh-CN"/>
              </w:rPr>
              <w:t>（</w:t>
            </w:r>
            <w:r>
              <w:rPr>
                <w:rFonts w:hint="eastAsia" w:cs="Times New Roman"/>
                <w:color w:val="auto"/>
                <w:shd w:val="clear" w:color="auto" w:fill="auto"/>
                <w:lang w:val="en-US" w:eastAsia="zh-CN"/>
              </w:rPr>
              <w:t>3</w:t>
            </w:r>
            <w:r>
              <w:rPr>
                <w:rFonts w:hint="eastAsia" w:ascii="Times New Roman" w:hAnsi="Times New Roman" w:eastAsia="宋体" w:cs="Times New Roman"/>
                <w:color w:val="auto"/>
                <w:shd w:val="clear" w:color="auto" w:fill="auto"/>
                <w:lang w:val="en-US" w:eastAsia="zh-CN"/>
              </w:rPr>
              <w:t>）锅炉排污水</w:t>
            </w:r>
          </w:p>
          <w:p>
            <w:pPr>
              <w:bidi w:val="0"/>
              <w:ind w:firstLine="480" w:firstLineChars="200"/>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shd w:val="clear" w:color="auto" w:fill="auto"/>
                <w:lang w:val="en-US" w:eastAsia="zh-CN" w:bidi="ar-SA"/>
              </w:rPr>
              <w:t>锅炉定期排污</w:t>
            </w:r>
            <w:r>
              <w:rPr>
                <w:rFonts w:hint="eastAsia" w:ascii="Times New Roman" w:hAnsi="Times New Roman" w:eastAsia="宋体" w:cs="Times New Roman"/>
                <w:color w:val="auto"/>
                <w:shd w:val="clear" w:color="auto" w:fill="auto"/>
                <w:lang w:val="en-US" w:eastAsia="zh-CN"/>
              </w:rPr>
              <w:t>水产生量为1.</w:t>
            </w:r>
            <w:r>
              <w:rPr>
                <w:rFonts w:hint="eastAsia" w:cs="Times New Roman"/>
                <w:color w:val="auto"/>
                <w:shd w:val="clear" w:color="auto" w:fill="auto"/>
                <w:lang w:val="en-US" w:eastAsia="zh-CN"/>
              </w:rPr>
              <w:t>8</w:t>
            </w:r>
            <w:r>
              <w:rPr>
                <w:rFonts w:hint="eastAsia" w:ascii="Times New Roman" w:hAnsi="Times New Roman" w:eastAsia="宋体" w:cs="Times New Roman"/>
                <w:color w:val="auto"/>
                <w:shd w:val="clear" w:color="auto" w:fill="auto"/>
                <w:lang w:val="en-US" w:eastAsia="zh-CN"/>
              </w:rPr>
              <w:t>m</w:t>
            </w:r>
            <w:r>
              <w:rPr>
                <w:rFonts w:hint="eastAsia" w:ascii="Times New Roman" w:hAnsi="Times New Roman" w:eastAsia="宋体" w:cs="Times New Roman"/>
                <w:color w:val="auto"/>
                <w:shd w:val="clear" w:color="auto" w:fill="auto"/>
                <w:vertAlign w:val="superscript"/>
                <w:lang w:val="en-US" w:eastAsia="zh-CN"/>
              </w:rPr>
              <w:t>3</w:t>
            </w:r>
            <w:r>
              <w:rPr>
                <w:rFonts w:hint="eastAsia" w:ascii="Times New Roman" w:hAnsi="Times New Roman" w:eastAsia="宋体" w:cs="Times New Roman"/>
                <w:color w:val="auto"/>
                <w:shd w:val="clear" w:color="auto" w:fill="auto"/>
                <w:lang w:val="en-US" w:eastAsia="zh-CN"/>
              </w:rPr>
              <w:t>/d（6</w:t>
            </w:r>
            <w:r>
              <w:rPr>
                <w:rFonts w:hint="eastAsia" w:cs="Times New Roman"/>
                <w:color w:val="auto"/>
                <w:shd w:val="clear" w:color="auto" w:fill="auto"/>
                <w:lang w:val="en-US" w:eastAsia="zh-CN"/>
              </w:rPr>
              <w:t>43</w:t>
            </w:r>
            <w:r>
              <w:rPr>
                <w:rFonts w:hint="eastAsia" w:ascii="Times New Roman" w:hAnsi="Times New Roman" w:eastAsia="宋体" w:cs="Times New Roman"/>
                <w:color w:val="auto"/>
                <w:shd w:val="clear" w:color="auto" w:fill="auto"/>
                <w:lang w:val="en-US" w:eastAsia="zh-CN"/>
              </w:rPr>
              <w:t>m</w:t>
            </w:r>
            <w:r>
              <w:rPr>
                <w:rFonts w:hint="eastAsia" w:ascii="Times New Roman" w:hAnsi="Times New Roman" w:eastAsia="宋体" w:cs="Times New Roman"/>
                <w:color w:val="auto"/>
                <w:shd w:val="clear" w:color="auto" w:fill="auto"/>
                <w:vertAlign w:val="superscript"/>
                <w:lang w:val="en-US" w:eastAsia="zh-CN"/>
              </w:rPr>
              <w:t>3</w:t>
            </w:r>
            <w:r>
              <w:rPr>
                <w:rFonts w:hint="eastAsia" w:ascii="Times New Roman" w:hAnsi="Times New Roman" w:eastAsia="宋体" w:cs="Times New Roman"/>
                <w:color w:val="auto"/>
                <w:shd w:val="clear" w:color="auto" w:fill="auto"/>
                <w:lang w:val="en-US" w:eastAsia="zh-CN"/>
              </w:rPr>
              <w:t>/a），排入一座10m</w:t>
            </w:r>
            <w:r>
              <w:rPr>
                <w:rFonts w:hint="eastAsia" w:ascii="Times New Roman" w:hAnsi="Times New Roman" w:eastAsia="宋体" w:cs="Times New Roman"/>
                <w:color w:val="auto"/>
                <w:shd w:val="clear" w:color="auto" w:fill="auto"/>
                <w:vertAlign w:val="superscript"/>
                <w:lang w:val="en-US" w:eastAsia="zh-CN"/>
              </w:rPr>
              <w:t>3</w:t>
            </w:r>
            <w:r>
              <w:rPr>
                <w:rFonts w:hint="eastAsia" w:ascii="Times New Roman" w:hAnsi="Times New Roman" w:eastAsia="宋体" w:cs="Times New Roman"/>
                <w:color w:val="auto"/>
                <w:kern w:val="0"/>
                <w:sz w:val="24"/>
                <w:szCs w:val="24"/>
                <w:lang w:val="en-US" w:eastAsia="zh-CN" w:bidi="ar-SA"/>
              </w:rPr>
              <w:t>的降温沉淀池处理后排入园区</w:t>
            </w:r>
            <w:r>
              <w:rPr>
                <w:rFonts w:hint="eastAsia" w:cs="Times New Roman"/>
                <w:color w:val="auto"/>
                <w:kern w:val="0"/>
                <w:sz w:val="24"/>
                <w:szCs w:val="24"/>
                <w:lang w:val="en-US" w:eastAsia="zh-CN" w:bidi="ar-SA"/>
              </w:rPr>
              <w:t>雨水</w:t>
            </w:r>
            <w:r>
              <w:rPr>
                <w:rFonts w:hint="eastAsia" w:ascii="Times New Roman" w:hAnsi="Times New Roman" w:eastAsia="宋体" w:cs="Times New Roman"/>
                <w:color w:val="auto"/>
                <w:kern w:val="0"/>
                <w:sz w:val="24"/>
                <w:szCs w:val="24"/>
                <w:lang w:val="en-US" w:eastAsia="zh-CN" w:bidi="ar-SA"/>
              </w:rPr>
              <w:t>管网。</w:t>
            </w:r>
          </w:p>
          <w:p>
            <w:pPr>
              <w:ind w:firstLine="48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纯水</w:t>
            </w:r>
            <w:r>
              <w:rPr>
                <w:rFonts w:hint="eastAsia" w:ascii="Times New Roman" w:hAnsi="Times New Roman" w:eastAsia="宋体" w:cs="Times New Roman"/>
                <w:color w:val="auto"/>
                <w:highlight w:val="none"/>
                <w:lang w:val="en-US" w:eastAsia="zh-CN"/>
              </w:rPr>
              <w:t>制备废水</w:t>
            </w:r>
          </w:p>
          <w:p>
            <w:pPr>
              <w:bidi w:val="0"/>
              <w:ind w:firstLine="480" w:firstLineChars="20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浓水制备废水水质较清洁，主要为</w:t>
            </w:r>
            <w:r>
              <w:rPr>
                <w:rFonts w:hint="default" w:ascii="Times New Roman" w:hAnsi="Times New Roman" w:eastAsia="宋体" w:cs="Times New Roman"/>
                <w:color w:val="auto"/>
                <w:highlight w:val="none"/>
              </w:rPr>
              <w:t>Ca</w:t>
            </w:r>
            <w:r>
              <w:rPr>
                <w:rFonts w:hint="default"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Mg</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等无机盐</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产生量为4</w:t>
            </w:r>
            <w:r>
              <w:rPr>
                <w:rFonts w:hint="eastAsia" w:cs="Times New Roman"/>
                <w:color w:val="auto"/>
                <w:highlight w:val="none"/>
                <w:lang w:val="en-US" w:eastAsia="zh-CN"/>
              </w:rPr>
              <w:t>5.3</w:t>
            </w:r>
            <w:r>
              <w:rPr>
                <w:rFonts w:hint="eastAsia" w:ascii="Times New Roman" w:hAnsi="Times New Roman" w:eastAsia="宋体" w:cs="Times New Roman"/>
                <w:color w:val="auto"/>
                <w:highlight w:val="none"/>
                <w:lang w:val="en-US" w:eastAsia="zh-CN"/>
              </w:rPr>
              <w:t>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/d，排入降温沉淀池</w:t>
            </w:r>
            <w:r>
              <w:rPr>
                <w:rFonts w:hint="eastAsia" w:cs="Times New Roman"/>
                <w:color w:val="auto"/>
                <w:highlight w:val="none"/>
                <w:lang w:val="en-US" w:eastAsia="zh-CN"/>
              </w:rPr>
              <w:t>处理</w:t>
            </w:r>
            <w:r>
              <w:rPr>
                <w:rFonts w:hint="eastAsia" w:ascii="Times New Roman" w:hAnsi="Times New Roman" w:eastAsia="宋体" w:cs="Times New Roman"/>
                <w:color w:val="auto"/>
                <w:highlight w:val="none"/>
                <w:lang w:val="en-US" w:eastAsia="zh-CN"/>
              </w:rPr>
              <w:t>后排入园区</w:t>
            </w:r>
            <w:r>
              <w:rPr>
                <w:rFonts w:hint="eastAsia" w:cs="Times New Roman"/>
                <w:color w:val="auto"/>
                <w:highlight w:val="none"/>
                <w:lang w:val="en-US" w:eastAsia="zh-CN"/>
              </w:rPr>
              <w:t>雨水</w:t>
            </w:r>
            <w:r>
              <w:rPr>
                <w:rFonts w:hint="eastAsia" w:ascii="Times New Roman" w:hAnsi="Times New Roman" w:eastAsia="宋体" w:cs="Times New Roman"/>
                <w:color w:val="auto"/>
                <w:highlight w:val="none"/>
                <w:lang w:val="en-US" w:eastAsia="zh-CN"/>
              </w:rPr>
              <w:t>管网。</w:t>
            </w:r>
          </w:p>
          <w:p>
            <w:pPr>
              <w:adjustRightInd w:val="0"/>
              <w:snapToGrid w:val="0"/>
              <w:spacing w:line="360" w:lineRule="auto"/>
              <w:ind w:firstLine="482" w:firstLineChars="200"/>
              <w:jc w:val="center"/>
              <w:rPr>
                <w:rFonts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表2-</w:t>
            </w:r>
            <w:r>
              <w:rPr>
                <w:rFonts w:hint="eastAsia" w:cs="Times New Roman"/>
                <w:b/>
                <w:bCs/>
                <w:color w:val="auto"/>
                <w:sz w:val="24"/>
                <w:highlight w:val="none"/>
                <w:lang w:val="en-US" w:eastAsia="zh-CN"/>
              </w:rPr>
              <w:t>10</w:t>
            </w:r>
            <w:r>
              <w:rPr>
                <w:rFonts w:hint="eastAsia" w:ascii="Times New Roman" w:hAnsi="Times New Roman" w:eastAsia="宋体" w:cs="Times New Roman"/>
                <w:b/>
                <w:bCs/>
                <w:color w:val="auto"/>
                <w:sz w:val="24"/>
                <w:highlight w:val="none"/>
              </w:rPr>
              <w:t xml:space="preserve">  </w:t>
            </w:r>
            <w:r>
              <w:rPr>
                <w:rFonts w:hint="eastAsia" w:ascii="Times New Roman" w:hAnsi="Times New Roman" w:eastAsia="宋体" w:cs="Times New Roman"/>
                <w:b/>
                <w:bCs/>
                <w:color w:val="auto"/>
                <w:sz w:val="24"/>
                <w:highlight w:val="none"/>
                <w:lang w:val="en-US" w:eastAsia="zh-CN"/>
              </w:rPr>
              <w:t>项目</w:t>
            </w:r>
            <w:r>
              <w:rPr>
                <w:rFonts w:hint="eastAsia" w:ascii="Times New Roman" w:hAnsi="Times New Roman" w:eastAsia="宋体" w:cs="Times New Roman"/>
                <w:b/>
                <w:bCs/>
                <w:color w:val="auto"/>
                <w:sz w:val="24"/>
                <w:highlight w:val="none"/>
              </w:rPr>
              <w:t>水平衡一览表   单位：</w:t>
            </w:r>
            <w:r>
              <w:rPr>
                <w:rFonts w:ascii="Times New Roman" w:hAnsi="Times New Roman" w:eastAsia="宋体" w:cs="Times New Roman"/>
                <w:b/>
                <w:bCs/>
                <w:color w:val="auto"/>
                <w:sz w:val="24"/>
                <w:highlight w:val="none"/>
              </w:rPr>
              <w:t>m</w:t>
            </w:r>
            <w:r>
              <w:rPr>
                <w:rFonts w:ascii="Times New Roman" w:hAnsi="Times New Roman" w:eastAsia="宋体" w:cs="Times New Roman"/>
                <w:b/>
                <w:bCs/>
                <w:color w:val="auto"/>
                <w:sz w:val="24"/>
                <w:highlight w:val="none"/>
                <w:vertAlign w:val="superscript"/>
              </w:rPr>
              <w:t>3</w:t>
            </w:r>
            <w:r>
              <w:rPr>
                <w:rFonts w:ascii="Times New Roman" w:hAnsi="Times New Roman" w:eastAsia="宋体" w:cs="Times New Roman"/>
                <w:b/>
                <w:bCs/>
                <w:color w:val="auto"/>
                <w:sz w:val="24"/>
                <w:highlight w:val="none"/>
              </w:rPr>
              <w:t>/d</w:t>
            </w:r>
          </w:p>
          <w:tbl>
            <w:tblPr>
              <w:tblStyle w:val="24"/>
              <w:tblW w:w="7945" w:type="dxa"/>
              <w:jc w:val="center"/>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493"/>
              <w:gridCol w:w="1577"/>
              <w:gridCol w:w="789"/>
              <w:gridCol w:w="792"/>
              <w:gridCol w:w="898"/>
              <w:gridCol w:w="902"/>
              <w:gridCol w:w="789"/>
              <w:gridCol w:w="851"/>
              <w:gridCol w:w="854"/>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493" w:type="dxa"/>
                  <w:tcBorders>
                    <w:top w:val="single" w:color="auto" w:sz="6" w:space="0"/>
                    <w:left w:val="nil"/>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序号</w:t>
                  </w:r>
                </w:p>
              </w:tc>
              <w:tc>
                <w:tcPr>
                  <w:tcW w:w="1577"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总用水量</w:t>
                  </w:r>
                </w:p>
              </w:tc>
              <w:tc>
                <w:tcPr>
                  <w:tcW w:w="79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新鲜水用量</w:t>
                  </w:r>
                </w:p>
              </w:tc>
              <w:tc>
                <w:tcPr>
                  <w:tcW w:w="898"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回用水量</w:t>
                  </w:r>
                </w:p>
              </w:tc>
              <w:tc>
                <w:tcPr>
                  <w:tcW w:w="90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循环水量</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废水产生量</w:t>
                  </w:r>
                </w:p>
              </w:tc>
              <w:tc>
                <w:tcPr>
                  <w:tcW w:w="851"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损耗量</w:t>
                  </w:r>
                </w:p>
              </w:tc>
              <w:tc>
                <w:tcPr>
                  <w:tcW w:w="854" w:type="dxa"/>
                  <w:tcBorders>
                    <w:top w:val="single" w:color="auto" w:sz="6" w:space="0"/>
                    <w:left w:val="single" w:color="auto" w:sz="6" w:space="0"/>
                    <w:bottom w:val="single" w:color="auto" w:sz="6" w:space="0"/>
                    <w:right w:val="nil"/>
                  </w:tcBorders>
                  <w:noWrap w:val="0"/>
                  <w:vAlign w:val="center"/>
                </w:tcPr>
                <w:p>
                  <w:pPr>
                    <w:widowControl w:val="0"/>
                    <w:bidi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废水</w:t>
                  </w:r>
                </w:p>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排放量</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493" w:type="dxa"/>
                  <w:tcBorders>
                    <w:top w:val="single" w:color="auto" w:sz="6" w:space="0"/>
                    <w:left w:val="nil"/>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577"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生活</w:t>
                  </w:r>
                  <w:r>
                    <w:rPr>
                      <w:rFonts w:hint="eastAsia" w:cs="Times New Roman"/>
                      <w:color w:val="auto"/>
                      <w:kern w:val="2"/>
                      <w:sz w:val="21"/>
                      <w:szCs w:val="21"/>
                      <w:highlight w:val="none"/>
                      <w:lang w:val="en-US" w:eastAsia="zh-CN" w:bidi="ar-SA"/>
                    </w:rPr>
                    <w:t>用水</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79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898"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90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4.8</w:t>
                  </w:r>
                </w:p>
              </w:tc>
              <w:tc>
                <w:tcPr>
                  <w:tcW w:w="851"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w:t>
                  </w:r>
                </w:p>
              </w:tc>
              <w:tc>
                <w:tcPr>
                  <w:tcW w:w="854" w:type="dxa"/>
                  <w:tcBorders>
                    <w:top w:val="single" w:color="auto" w:sz="6" w:space="0"/>
                    <w:left w:val="single" w:color="auto" w:sz="6" w:space="0"/>
                    <w:bottom w:val="single" w:color="auto" w:sz="6" w:space="0"/>
                    <w:right w:val="nil"/>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4.8</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493" w:type="dxa"/>
                  <w:tcBorders>
                    <w:top w:val="single" w:color="auto" w:sz="6" w:space="0"/>
                    <w:left w:val="nil"/>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1577"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地面清洁</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79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898"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90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w:t>
                  </w:r>
                </w:p>
              </w:tc>
              <w:tc>
                <w:tcPr>
                  <w:tcW w:w="851"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0.4</w:t>
                  </w:r>
                </w:p>
              </w:tc>
              <w:tc>
                <w:tcPr>
                  <w:tcW w:w="854" w:type="dxa"/>
                  <w:tcBorders>
                    <w:top w:val="single" w:color="auto" w:sz="6" w:space="0"/>
                    <w:left w:val="single" w:color="auto" w:sz="6" w:space="0"/>
                    <w:bottom w:val="single" w:color="auto" w:sz="6" w:space="0"/>
                    <w:right w:val="nil"/>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493" w:type="dxa"/>
                  <w:tcBorders>
                    <w:top w:val="single" w:color="auto" w:sz="6" w:space="0"/>
                    <w:left w:val="nil"/>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1577"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浆水生产（纯水）</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81.3</w:t>
                  </w:r>
                </w:p>
              </w:tc>
              <w:tc>
                <w:tcPr>
                  <w:tcW w:w="79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898"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81.3</w:t>
                  </w:r>
                </w:p>
              </w:tc>
              <w:tc>
                <w:tcPr>
                  <w:tcW w:w="90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851"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81.3</w:t>
                  </w:r>
                </w:p>
              </w:tc>
              <w:tc>
                <w:tcPr>
                  <w:tcW w:w="854" w:type="dxa"/>
                  <w:tcBorders>
                    <w:top w:val="single" w:color="auto" w:sz="6" w:space="0"/>
                    <w:left w:val="single" w:color="auto" w:sz="6" w:space="0"/>
                    <w:bottom w:val="single" w:color="auto" w:sz="6" w:space="0"/>
                    <w:right w:val="nil"/>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493" w:type="dxa"/>
                  <w:tcBorders>
                    <w:top w:val="single" w:color="auto" w:sz="6" w:space="0"/>
                    <w:left w:val="nil"/>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1577"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原料清洗</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10.5</w:t>
                  </w:r>
                </w:p>
              </w:tc>
              <w:tc>
                <w:tcPr>
                  <w:tcW w:w="79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898"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10.5</w:t>
                  </w:r>
                </w:p>
              </w:tc>
              <w:tc>
                <w:tcPr>
                  <w:tcW w:w="90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8.4</w:t>
                  </w:r>
                </w:p>
              </w:tc>
              <w:tc>
                <w:tcPr>
                  <w:tcW w:w="851"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w:t>
                  </w:r>
                </w:p>
              </w:tc>
              <w:tc>
                <w:tcPr>
                  <w:tcW w:w="854" w:type="dxa"/>
                  <w:tcBorders>
                    <w:top w:val="single" w:color="auto" w:sz="6" w:space="0"/>
                    <w:left w:val="single" w:color="auto" w:sz="6" w:space="0"/>
                    <w:bottom w:val="single" w:color="auto" w:sz="6" w:space="0"/>
                    <w:right w:val="nil"/>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8.4</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493" w:type="dxa"/>
                  <w:tcBorders>
                    <w:top w:val="single" w:color="auto" w:sz="6" w:space="0"/>
                    <w:left w:val="nil"/>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1577"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设备清洗</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w:t>
                  </w:r>
                </w:p>
              </w:tc>
              <w:tc>
                <w:tcPr>
                  <w:tcW w:w="79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898"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w:t>
                  </w:r>
                </w:p>
              </w:tc>
              <w:tc>
                <w:tcPr>
                  <w:tcW w:w="90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3.7</w:t>
                  </w:r>
                </w:p>
              </w:tc>
              <w:tc>
                <w:tcPr>
                  <w:tcW w:w="851"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0.9</w:t>
                  </w:r>
                </w:p>
              </w:tc>
              <w:tc>
                <w:tcPr>
                  <w:tcW w:w="854" w:type="dxa"/>
                  <w:tcBorders>
                    <w:top w:val="single" w:color="auto" w:sz="6" w:space="0"/>
                    <w:left w:val="single" w:color="auto" w:sz="6" w:space="0"/>
                    <w:bottom w:val="single" w:color="auto" w:sz="6" w:space="0"/>
                    <w:right w:val="nil"/>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3.7</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493" w:type="dxa"/>
                  <w:tcBorders>
                    <w:top w:val="single" w:color="auto" w:sz="6" w:space="0"/>
                    <w:left w:val="nil"/>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1577"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漂烫</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4.4</w:t>
                  </w:r>
                </w:p>
              </w:tc>
              <w:tc>
                <w:tcPr>
                  <w:tcW w:w="79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898"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4.4</w:t>
                  </w:r>
                </w:p>
              </w:tc>
              <w:tc>
                <w:tcPr>
                  <w:tcW w:w="90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851"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w:t>
                  </w:r>
                </w:p>
              </w:tc>
              <w:tc>
                <w:tcPr>
                  <w:tcW w:w="854" w:type="dxa"/>
                  <w:tcBorders>
                    <w:top w:val="single" w:color="auto" w:sz="6" w:space="0"/>
                    <w:left w:val="single" w:color="auto" w:sz="6" w:space="0"/>
                    <w:bottom w:val="single" w:color="auto" w:sz="6" w:space="0"/>
                    <w:right w:val="nil"/>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493" w:type="dxa"/>
                  <w:tcBorders>
                    <w:top w:val="single" w:color="auto" w:sz="6" w:space="0"/>
                    <w:left w:val="nil"/>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1577"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冷却清洗</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79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898"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90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851"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854" w:type="dxa"/>
                  <w:tcBorders>
                    <w:top w:val="single" w:color="auto" w:sz="6" w:space="0"/>
                    <w:left w:val="single" w:color="auto" w:sz="6" w:space="0"/>
                    <w:bottom w:val="single" w:color="auto" w:sz="6" w:space="0"/>
                    <w:right w:val="nil"/>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493" w:type="dxa"/>
                  <w:tcBorders>
                    <w:top w:val="single" w:color="auto" w:sz="6" w:space="0"/>
                    <w:left w:val="nil"/>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1577"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锅炉补水</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79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898"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90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w:t>
                  </w:r>
                </w:p>
              </w:tc>
              <w:tc>
                <w:tcPr>
                  <w:tcW w:w="851"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w:t>
                  </w:r>
                </w:p>
              </w:tc>
              <w:tc>
                <w:tcPr>
                  <w:tcW w:w="854" w:type="dxa"/>
                  <w:tcBorders>
                    <w:top w:val="single" w:color="auto" w:sz="6" w:space="0"/>
                    <w:left w:val="single" w:color="auto" w:sz="6" w:space="0"/>
                    <w:bottom w:val="single" w:color="auto" w:sz="6" w:space="0"/>
                    <w:right w:val="nil"/>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493" w:type="dxa"/>
                  <w:tcBorders>
                    <w:top w:val="single" w:color="auto" w:sz="6" w:space="0"/>
                    <w:left w:val="nil"/>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w:t>
                  </w:r>
                </w:p>
              </w:tc>
              <w:tc>
                <w:tcPr>
                  <w:tcW w:w="1577"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纯水制备</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151.1</w:t>
                  </w:r>
                </w:p>
              </w:tc>
              <w:tc>
                <w:tcPr>
                  <w:tcW w:w="79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151.1</w:t>
                  </w:r>
                </w:p>
              </w:tc>
              <w:tc>
                <w:tcPr>
                  <w:tcW w:w="898"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90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45.3</w:t>
                  </w:r>
                </w:p>
              </w:tc>
              <w:tc>
                <w:tcPr>
                  <w:tcW w:w="851"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105.8</w:t>
                  </w:r>
                </w:p>
              </w:tc>
              <w:tc>
                <w:tcPr>
                  <w:tcW w:w="854" w:type="dxa"/>
                  <w:tcBorders>
                    <w:top w:val="single" w:color="auto" w:sz="6" w:space="0"/>
                    <w:left w:val="single" w:color="auto" w:sz="6" w:space="0"/>
                    <w:bottom w:val="single" w:color="auto" w:sz="6" w:space="0"/>
                    <w:right w:val="nil"/>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45.3</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2070" w:type="dxa"/>
                  <w:gridSpan w:val="2"/>
                  <w:tcBorders>
                    <w:top w:val="single" w:color="auto" w:sz="6" w:space="0"/>
                    <w:left w:val="nil"/>
                    <w:bottom w:val="single" w:color="auto" w:sz="6" w:space="0"/>
                    <w:right w:val="single" w:color="auto" w:sz="6" w:space="0"/>
                  </w:tcBorders>
                  <w:noWrap w:val="0"/>
                  <w:vAlign w:val="center"/>
                </w:tcPr>
                <w:p>
                  <w:pPr>
                    <w:widowControl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合计</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264.9</w:t>
                  </w:r>
                </w:p>
              </w:tc>
              <w:tc>
                <w:tcPr>
                  <w:tcW w:w="79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159.1</w:t>
                  </w:r>
                </w:p>
              </w:tc>
              <w:tc>
                <w:tcPr>
                  <w:tcW w:w="898"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105.8</w:t>
                  </w:r>
                </w:p>
              </w:tc>
              <w:tc>
                <w:tcPr>
                  <w:tcW w:w="902"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789"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69.6</w:t>
                  </w:r>
                </w:p>
              </w:tc>
              <w:tc>
                <w:tcPr>
                  <w:tcW w:w="851" w:type="dxa"/>
                  <w:tcBorders>
                    <w:top w:val="single" w:color="auto" w:sz="6" w:space="0"/>
                    <w:left w:val="single" w:color="auto" w:sz="6" w:space="0"/>
                    <w:bottom w:val="single" w:color="auto" w:sz="6" w:space="0"/>
                    <w:right w:val="single" w:color="auto" w:sz="6" w:space="0"/>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195.3</w:t>
                  </w:r>
                </w:p>
              </w:tc>
              <w:tc>
                <w:tcPr>
                  <w:tcW w:w="854" w:type="dxa"/>
                  <w:tcBorders>
                    <w:top w:val="single" w:color="auto" w:sz="6" w:space="0"/>
                    <w:left w:val="single" w:color="auto" w:sz="6" w:space="0"/>
                    <w:bottom w:val="single" w:color="auto" w:sz="6" w:space="0"/>
                    <w:right w:val="nil"/>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69.6</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浆水生产、设备清洗、漂烫、冷却清洗、锅炉补水均使用纯水，新鲜用水量均计入纯水制备用水量，甩干废水产生计入漂烫废水中。</w:t>
            </w:r>
          </w:p>
          <w:p>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highlight w:val="none"/>
                <w:lang w:val="en-US" w:eastAsia="zh-CN"/>
              </w:rPr>
              <w:t>厂区</w:t>
            </w:r>
            <w:r>
              <w:rPr>
                <w:rFonts w:hint="eastAsia" w:ascii="Times New Roman" w:hAnsi="Times New Roman" w:eastAsia="宋体" w:cs="Times New Roman"/>
                <w:color w:val="auto"/>
                <w:sz w:val="24"/>
                <w:highlight w:val="none"/>
              </w:rPr>
              <w:t>水平衡图见下图</w:t>
            </w:r>
            <w:r>
              <w:rPr>
                <w:rFonts w:hint="eastAsia" w:ascii="Times New Roman" w:hAnsi="Times New Roman" w:eastAsia="宋体" w:cs="Times New Roman"/>
                <w:color w:val="auto"/>
                <w:sz w:val="24"/>
                <w:highlight w:val="none"/>
                <w:lang w:eastAsia="zh-CN"/>
              </w:rPr>
              <w:t>：</w:t>
            </w:r>
          </w:p>
          <w:p>
            <w:pPr>
              <w:widowControl w:val="0"/>
              <w:jc w:val="center"/>
              <w:rPr>
                <w:rFonts w:hint="default"/>
                <w:color w:val="auto"/>
                <w:lang w:val="en-US" w:eastAsia="zh-CN"/>
              </w:rPr>
            </w:pPr>
            <w:r>
              <w:rPr>
                <w:rFonts w:ascii="Times New Roman" w:hAnsi="Times New Roman" w:eastAsia="宋体" w:cs="Times New Roman"/>
                <w:b/>
                <w:bCs/>
                <w:color w:val="auto"/>
                <w:kern w:val="2"/>
                <w:sz w:val="24"/>
                <w:szCs w:val="21"/>
                <w:lang w:val="en-US" w:eastAsia="zh-CN" w:bidi="ar-SA"/>
              </w:rPr>
              <w:object>
                <v:shape id="_x0000_i1026" o:spt="75" type="#_x0000_t75" style="height:282.65pt;width:397.1pt;" o:ole="t" filled="f" o:preferrelative="t" stroked="t" coordsize="21600,21600">
                  <v:path/>
                  <v:fill on="f" focussize="0,0"/>
                  <v:stroke color="#000000" joinstyle="miter"/>
                  <v:imagedata r:id="rId9" o:title=""/>
                  <o:lock v:ext="edit" aspectratio="f"/>
                  <w10:wrap type="none"/>
                  <w10:anchorlock/>
                </v:shape>
                <o:OLEObject Type="Embed" ProgID="Visio.Drawing.11" ShapeID="_x0000_i1026" DrawAspect="Content" ObjectID="_1468075726" r:id="rId8">
                  <o:LockedField>false</o:LockedField>
                </o:OLEObject>
              </w:object>
            </w:r>
            <w:r>
              <w:rPr>
                <w:rFonts w:ascii="Times New Roman" w:hAnsi="Times New Roman" w:eastAsia="宋体" w:cs="Times New Roman"/>
                <w:b/>
                <w:bCs/>
                <w:color w:val="auto"/>
                <w:kern w:val="2"/>
                <w:sz w:val="24"/>
                <w:szCs w:val="21"/>
                <w:highlight w:val="none"/>
                <w:lang w:val="en-US" w:eastAsia="zh-CN" w:bidi="ar-SA"/>
              </w:rPr>
              <w:t>图2-</w:t>
            </w:r>
            <w:r>
              <w:rPr>
                <w:rFonts w:hint="eastAsia" w:cs="Times New Roman"/>
                <w:b/>
                <w:bCs/>
                <w:color w:val="auto"/>
                <w:kern w:val="2"/>
                <w:sz w:val="24"/>
                <w:szCs w:val="21"/>
                <w:highlight w:val="none"/>
                <w:lang w:val="en-US" w:eastAsia="zh-CN" w:bidi="ar-SA"/>
              </w:rPr>
              <w:t>2</w:t>
            </w:r>
            <w:r>
              <w:rPr>
                <w:rFonts w:ascii="Times New Roman" w:hAnsi="Times New Roman" w:eastAsia="宋体" w:cs="Times New Roman"/>
                <w:b/>
                <w:bCs/>
                <w:color w:val="auto"/>
                <w:kern w:val="2"/>
                <w:sz w:val="24"/>
                <w:szCs w:val="21"/>
                <w:highlight w:val="none"/>
                <w:lang w:val="en-US" w:eastAsia="zh-CN" w:bidi="ar-SA"/>
              </w:rPr>
              <w:t xml:space="preserve">  水平衡图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1" w:hRule="atLeast"/>
          <w:jc w:val="center"/>
        </w:trPr>
        <w:tc>
          <w:tcPr>
            <w:tcW w:w="823" w:type="dxa"/>
            <w:noWrap w:val="0"/>
            <w:vAlign w:val="center"/>
          </w:tcPr>
          <w:p>
            <w:pPr>
              <w:widowControl/>
              <w:adjustRightInd w:val="0"/>
              <w:snapToGrid w:val="0"/>
              <w:spacing w:before="0" w:beforeAutospacing="0" w:after="0" w:afterAutospacing="0"/>
              <w:jc w:val="center"/>
              <w:rPr>
                <w:rFonts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工艺流程和产排污环节</w:t>
            </w:r>
          </w:p>
        </w:tc>
        <w:tc>
          <w:tcPr>
            <w:tcW w:w="8161" w:type="dxa"/>
            <w:noWrap w:val="0"/>
            <w:vAlign w:val="top"/>
          </w:tcPr>
          <w:p>
            <w:pPr>
              <w:adjustRightInd w:val="0"/>
              <w:snapToGrid w:val="0"/>
              <w:spacing w:line="360" w:lineRule="auto"/>
              <w:ind w:firstLine="482" w:firstLineChars="200"/>
              <w:rPr>
                <w:b/>
                <w:bCs/>
                <w:color w:val="auto"/>
                <w:sz w:val="24"/>
              </w:rPr>
            </w:pPr>
            <w:r>
              <w:rPr>
                <w:b/>
                <w:bCs/>
                <w:color w:val="auto"/>
                <w:sz w:val="24"/>
              </w:rPr>
              <w:t>一、施工期流程及产排污环节分析</w:t>
            </w:r>
          </w:p>
          <w:p>
            <w:pPr>
              <w:adjustRightInd w:val="0"/>
              <w:snapToGrid w:val="0"/>
              <w:spacing w:line="360" w:lineRule="auto"/>
              <w:ind w:firstLine="480" w:firstLineChars="200"/>
              <w:rPr>
                <w:color w:val="auto"/>
                <w:sz w:val="24"/>
              </w:rPr>
            </w:pPr>
            <w:r>
              <w:rPr>
                <w:color w:val="auto"/>
                <w:sz w:val="24"/>
              </w:rPr>
              <w:t>本项目施工期主要进行</w:t>
            </w:r>
            <w:r>
              <w:rPr>
                <w:rFonts w:hint="eastAsia"/>
                <w:color w:val="auto"/>
                <w:sz w:val="24"/>
                <w:lang w:val="en-US" w:eastAsia="zh-CN"/>
              </w:rPr>
              <w:t>办公楼、冷藏库、锅炉房的</w:t>
            </w:r>
            <w:r>
              <w:rPr>
                <w:color w:val="auto"/>
                <w:sz w:val="24"/>
              </w:rPr>
              <w:t>场地平整、</w:t>
            </w:r>
            <w:r>
              <w:rPr>
                <w:rFonts w:hint="eastAsia"/>
                <w:color w:val="auto"/>
                <w:sz w:val="24"/>
                <w:lang w:val="en-US" w:eastAsia="zh-CN"/>
              </w:rPr>
              <w:t>主体</w:t>
            </w:r>
            <w:r>
              <w:rPr>
                <w:color w:val="auto"/>
                <w:sz w:val="24"/>
              </w:rPr>
              <w:t>建设、设备的安装等，整个施工</w:t>
            </w:r>
            <w:r>
              <w:rPr>
                <w:rFonts w:hint="eastAsia"/>
                <w:color w:val="auto"/>
                <w:sz w:val="24"/>
                <w:lang w:val="en-US" w:eastAsia="zh-CN"/>
              </w:rPr>
              <w:t>期限</w:t>
            </w:r>
            <w:r>
              <w:rPr>
                <w:color w:val="auto"/>
                <w:sz w:val="24"/>
              </w:rPr>
              <w:t>约为</w:t>
            </w:r>
            <w:r>
              <w:rPr>
                <w:rFonts w:hint="eastAsia"/>
                <w:color w:val="auto"/>
                <w:sz w:val="24"/>
                <w:lang w:val="en-US" w:eastAsia="zh-CN"/>
              </w:rPr>
              <w:t>3</w:t>
            </w:r>
            <w:r>
              <w:rPr>
                <w:color w:val="auto"/>
                <w:sz w:val="24"/>
              </w:rPr>
              <w:t>个月。施工期工艺流程及产污环节见图2-</w:t>
            </w:r>
            <w:r>
              <w:rPr>
                <w:rFonts w:hint="eastAsia"/>
                <w:color w:val="auto"/>
                <w:sz w:val="24"/>
                <w:lang w:val="en-US" w:eastAsia="zh-CN"/>
              </w:rPr>
              <w:t>3</w:t>
            </w:r>
            <w:r>
              <w:rPr>
                <w:color w:val="auto"/>
                <w:sz w:val="24"/>
              </w:rPr>
              <w:t>。</w:t>
            </w:r>
          </w:p>
          <w:p>
            <w:pPr>
              <w:spacing w:line="360" w:lineRule="auto"/>
              <w:jc w:val="center"/>
              <w:rPr>
                <w:color w:val="auto"/>
              </w:rPr>
            </w:pPr>
            <w:r>
              <w:rPr>
                <w:color w:val="auto"/>
              </w:rPr>
              <w:object>
                <v:shape id="_x0000_i1027" o:spt="75" type="#_x0000_t75" style="height:181.9pt;width:350.7pt;" o:ole="t" filled="f" o:preferrelative="t" stroked="t" coordsize="21600,21600">
                  <v:path/>
                  <v:fill on="f" focussize="0,0"/>
                  <v:stroke/>
                  <v:imagedata r:id="rId11" o:title=""/>
                  <o:lock v:ext="edit" aspectratio="t"/>
                  <w10:wrap type="none"/>
                  <w10:anchorlock/>
                </v:shape>
                <o:OLEObject Type="Embed" ProgID="Visio.Drawing.11" ShapeID="_x0000_i1027" DrawAspect="Content" ObjectID="_1468075727" r:id="rId10">
                  <o:LockedField>false</o:LockedField>
                </o:OLEObject>
              </w:object>
            </w:r>
          </w:p>
          <w:p>
            <w:pPr>
              <w:ind w:firstLine="482" w:firstLineChars="200"/>
              <w:jc w:val="center"/>
              <w:rPr>
                <w:b/>
                <w:bCs/>
                <w:color w:val="auto"/>
                <w:sz w:val="24"/>
                <w:highlight w:val="none"/>
              </w:rPr>
            </w:pPr>
            <w:r>
              <w:rPr>
                <w:b/>
                <w:bCs/>
                <w:color w:val="auto"/>
                <w:sz w:val="24"/>
                <w:highlight w:val="none"/>
              </w:rPr>
              <w:t>图2</w:t>
            </w:r>
            <w:r>
              <w:rPr>
                <w:rFonts w:hint="eastAsia"/>
                <w:b/>
                <w:bCs/>
                <w:color w:val="auto"/>
                <w:sz w:val="24"/>
                <w:highlight w:val="none"/>
              </w:rPr>
              <w:t>-</w:t>
            </w:r>
            <w:r>
              <w:rPr>
                <w:rFonts w:hint="eastAsia"/>
                <w:b/>
                <w:bCs/>
                <w:color w:val="auto"/>
                <w:sz w:val="24"/>
                <w:highlight w:val="none"/>
                <w:lang w:val="en-US" w:eastAsia="zh-CN"/>
              </w:rPr>
              <w:t>3</w:t>
            </w:r>
            <w:r>
              <w:rPr>
                <w:b/>
                <w:bCs/>
                <w:color w:val="auto"/>
                <w:sz w:val="24"/>
                <w:highlight w:val="none"/>
              </w:rPr>
              <w:t xml:space="preserve">  施工期工艺流程及产污环节图</w:t>
            </w:r>
          </w:p>
          <w:p>
            <w:pPr>
              <w:spacing w:line="360" w:lineRule="auto"/>
              <w:ind w:firstLine="482" w:firstLineChars="200"/>
              <w:rPr>
                <w:b/>
                <w:bCs/>
                <w:color w:val="auto"/>
                <w:sz w:val="24"/>
              </w:rPr>
            </w:pPr>
            <w:r>
              <w:rPr>
                <w:rFonts w:hint="eastAsia"/>
                <w:b/>
                <w:bCs/>
                <w:color w:val="auto"/>
                <w:sz w:val="24"/>
              </w:rPr>
              <w:t>1、</w:t>
            </w:r>
            <w:r>
              <w:rPr>
                <w:b/>
                <w:bCs/>
                <w:color w:val="auto"/>
                <w:sz w:val="24"/>
              </w:rPr>
              <w:t>工艺流程简述：</w:t>
            </w:r>
          </w:p>
          <w:p>
            <w:pPr>
              <w:spacing w:line="360" w:lineRule="auto"/>
              <w:ind w:firstLine="480" w:firstLineChars="200"/>
              <w:rPr>
                <w:color w:val="auto"/>
                <w:sz w:val="24"/>
              </w:rPr>
            </w:pPr>
            <w:r>
              <w:rPr>
                <w:color w:val="auto"/>
                <w:sz w:val="24"/>
              </w:rPr>
              <w:t>①土地平整：根据现场勘查场地较为平坦，</w:t>
            </w:r>
            <w:r>
              <w:rPr>
                <w:rFonts w:hint="eastAsia"/>
                <w:color w:val="auto"/>
                <w:sz w:val="24"/>
                <w:lang w:val="en-US" w:eastAsia="zh-CN"/>
              </w:rPr>
              <w:t>仅部分</w:t>
            </w:r>
            <w:r>
              <w:rPr>
                <w:color w:val="auto"/>
                <w:sz w:val="24"/>
              </w:rPr>
              <w:t>只需进行简单土地平整。</w:t>
            </w:r>
          </w:p>
          <w:p>
            <w:pPr>
              <w:spacing w:line="360" w:lineRule="auto"/>
              <w:ind w:firstLine="480" w:firstLineChars="200"/>
              <w:rPr>
                <w:color w:val="auto"/>
                <w:sz w:val="24"/>
              </w:rPr>
            </w:pPr>
            <w:r>
              <w:rPr>
                <w:color w:val="auto"/>
                <w:sz w:val="24"/>
              </w:rPr>
              <w:t>②主体工程：</w:t>
            </w:r>
            <w:r>
              <w:rPr>
                <w:rFonts w:hint="eastAsia"/>
                <w:color w:val="auto"/>
                <w:sz w:val="24"/>
                <w:lang w:val="en-US" w:eastAsia="zh-CN"/>
              </w:rPr>
              <w:t>办公楼、锅炉房、冷藏库的建设</w:t>
            </w:r>
            <w:r>
              <w:rPr>
                <w:color w:val="auto"/>
                <w:sz w:val="24"/>
              </w:rPr>
              <w:t>。</w:t>
            </w:r>
          </w:p>
          <w:p>
            <w:pPr>
              <w:spacing w:line="360" w:lineRule="auto"/>
              <w:ind w:firstLine="480" w:firstLineChars="200"/>
              <w:rPr>
                <w:color w:val="auto"/>
                <w:sz w:val="24"/>
              </w:rPr>
            </w:pPr>
            <w:r>
              <w:rPr>
                <w:color w:val="auto"/>
                <w:sz w:val="24"/>
              </w:rPr>
              <w:t>③设备安装：主要包括生产线</w:t>
            </w:r>
            <w:r>
              <w:rPr>
                <w:rFonts w:hint="eastAsia"/>
                <w:color w:val="auto"/>
                <w:sz w:val="24"/>
                <w:lang w:eastAsia="zh-CN"/>
              </w:rPr>
              <w:t>、</w:t>
            </w:r>
            <w:r>
              <w:rPr>
                <w:rFonts w:hint="eastAsia"/>
                <w:color w:val="auto"/>
                <w:sz w:val="24"/>
                <w:lang w:val="en-US" w:eastAsia="zh-CN"/>
              </w:rPr>
              <w:t>锅炉房</w:t>
            </w:r>
            <w:r>
              <w:rPr>
                <w:color w:val="auto"/>
                <w:sz w:val="24"/>
              </w:rPr>
              <w:t>等设备安装调试等工序。</w:t>
            </w:r>
          </w:p>
          <w:p>
            <w:pPr>
              <w:spacing w:line="360" w:lineRule="auto"/>
              <w:ind w:firstLine="482" w:firstLineChars="200"/>
              <w:rPr>
                <w:b/>
                <w:bCs/>
                <w:color w:val="auto"/>
                <w:sz w:val="24"/>
              </w:rPr>
            </w:pPr>
            <w:r>
              <w:rPr>
                <w:b/>
                <w:bCs/>
                <w:color w:val="auto"/>
                <w:sz w:val="24"/>
              </w:rPr>
              <w:t>二、运营期工艺流程及产排污环节分析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b w:val="0"/>
                <w:bCs w:val="0"/>
                <w:color w:val="auto"/>
                <w:lang w:val="en-US" w:eastAsia="zh-CN"/>
              </w:rPr>
            </w:pPr>
            <w:r>
              <w:rPr>
                <w:b w:val="0"/>
                <w:bCs w:val="0"/>
                <w:color w:val="auto"/>
                <w:lang w:val="en-US" w:eastAsia="zh-CN"/>
              </w:rPr>
              <w:t>1、</w:t>
            </w:r>
            <w:r>
              <w:rPr>
                <w:rFonts w:hint="eastAsia" w:ascii="Times New Roman" w:eastAsia="宋体"/>
                <w:b w:val="0"/>
                <w:bCs w:val="0"/>
                <w:color w:val="auto"/>
                <w:lang w:val="en-US" w:eastAsia="zh-CN"/>
              </w:rPr>
              <w:t>浆水生产线</w:t>
            </w:r>
            <w:r>
              <w:rPr>
                <w:b w:val="0"/>
                <w:bCs w:val="0"/>
                <w:color w:val="auto"/>
                <w:lang w:val="en-US" w:eastAsia="zh-CN"/>
              </w:rPr>
              <w:t>工艺流程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原料验收及暂存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项目所需蔬菜由签订种植协议的合作社提供，进厂前不符合进厂要求的蔬菜退回处置，进厂蔬菜已经去根，并去除绝大部分泥土，蔬菜进场后暂存于低温库中。</w:t>
            </w:r>
          </w:p>
          <w:p>
            <w:pPr>
              <w:pStyle w:val="34"/>
              <w:ind w:firstLine="480" w:firstLineChars="200"/>
              <w:rPr>
                <w:rFonts w:hint="default" w:ascii="Times New Roman" w:eastAsia="宋体"/>
                <w:color w:val="auto"/>
                <w:lang w:val="en-US" w:eastAsia="zh-CN"/>
              </w:rPr>
            </w:pPr>
            <w:r>
              <w:rPr>
                <w:rFonts w:hint="eastAsia" w:ascii="Times New Roman" w:eastAsia="宋体"/>
                <w:color w:val="auto"/>
                <w:lang w:val="en-US" w:eastAsia="zh-CN"/>
              </w:rPr>
              <w:t>（2）</w:t>
            </w:r>
            <w:r>
              <w:rPr>
                <w:rFonts w:hint="eastAsia" w:ascii="Times New Roman"/>
                <w:color w:val="auto"/>
                <w:lang w:val="en-US" w:eastAsia="zh-CN"/>
              </w:rPr>
              <w:t>更衣消毒</w:t>
            </w:r>
          </w:p>
          <w:p>
            <w:pPr>
              <w:pStyle w:val="7"/>
              <w:rPr>
                <w:rFonts w:hint="eastAsia"/>
                <w:b w:val="0"/>
                <w:bCs w:val="0"/>
                <w:color w:val="auto"/>
                <w:lang w:val="en-US" w:eastAsia="zh-CN"/>
              </w:rPr>
            </w:pPr>
            <w:r>
              <w:rPr>
                <w:rFonts w:hint="eastAsia"/>
                <w:b w:val="0"/>
                <w:bCs w:val="0"/>
                <w:color w:val="auto"/>
                <w:lang w:val="en-US" w:eastAsia="zh-CN"/>
              </w:rPr>
              <w:t>员工进入更衣消毒室，更换衣物后，每一个进入车间的人员都必须进行洗手消毒方可进入车间，通常采用七步洗手法，再使用酒精喷雾消毒器进行手部翻转喷雾消毒。人员洗手消毒后进入风淋室进行吹淋，风淋室为手动开门，自动关门，人员进入后自动吹风，吹风过程中双门锁闭强制吹淋，吹淋结束后人员出风淋室进入到生产车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（3）拣选、切段、清洗、漂烫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生产时，使用叉车将蔬菜运至生产车间净菜线，首先进行人工拣选，剔除部分烂叶以及混入的野草，该过程会产生固废；拣选后的蔬菜经切断机进行切段，该过程会产生噪声，切断后的蔬菜经生产线进入清洗机进行清洗，清洗方式为气泡及涡流清洗，清洗过程中产生噪声及废水，清洗好的蔬菜段经过漂烫机高温漂烫（芹菜70-80℃，蒲公英等野菜80-90℃），可消除蔬菜中的杂菌，利于后期发酵防止口味异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冷却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漂烫后的蔬菜经冷却机进一步降温清洗，能够达到杀菌和护绿的效果，该过程产生噪声及冷却清洗废水。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（5）脱水甩干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漂烫好的蔬菜及时转入脱水机内将水分甩干，防止影响口感，甩干时间35s。该过程产生甩干废水及噪声。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（6）制热面汤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rPr>
            </w:pPr>
            <w:r>
              <w:rPr>
                <w:rFonts w:hint="eastAsia"/>
                <w:color w:val="auto"/>
                <w:lang w:val="en-US" w:eastAsia="zh-CN"/>
              </w:rPr>
              <w:t>将面粉（</w:t>
            </w:r>
            <w:r>
              <w:rPr>
                <w:rFonts w:hint="eastAsia" w:ascii="Times New Roman" w:eastAsia="宋体"/>
                <w:color w:val="auto"/>
                <w:lang w:val="en-US" w:eastAsia="zh-CN"/>
              </w:rPr>
              <w:t>人工投加</w:t>
            </w:r>
            <w:r>
              <w:rPr>
                <w:rFonts w:hint="eastAsia"/>
                <w:color w:val="auto"/>
                <w:lang w:val="en-US" w:eastAsia="zh-CN"/>
              </w:rPr>
              <w:t>）与水按1:2的比例混合在一起</w:t>
            </w:r>
            <w:r>
              <w:rPr>
                <w:rFonts w:hint="eastAsia"/>
                <w:color w:val="auto"/>
                <w:highlight w:val="none"/>
                <w:lang w:val="en-US" w:eastAsia="zh-CN"/>
              </w:rPr>
              <w:t>，在面汤搅拌罐中搅拌均匀。该过程会产生噪声及少量粉尘。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（7）投缸发酵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投缸前所有的发酵缸在清洗消毒间内清洗干净，用热水冲洗两边后将菌种、漂烫好的蔬菜、熬好的面汤依次投入发酵缸内，然后加盖密封。发酵12h后，次日用70-80℃的热水灌缸至满缸，通过加入热水提升发酵温度，从而加快发酵速度，完成二次灌缸后继续发酵8h，然后进行二次搅缸，搅缸时按顺时针搅动。密封好的发酵缸在温度保持在26～30℃的发酵间内发酵（发酵总时间控制在72h内）。发酵期由专人管理、随时测温并做好记录。该过程产生发酵废气。</w:t>
            </w:r>
            <w:r>
              <w:rPr>
                <w:rFonts w:hint="eastAsia" w:ascii="Times New Roman" w:eastAsia="宋体"/>
                <w:color w:val="auto"/>
                <w:lang w:val="en-US" w:eastAsia="zh-CN"/>
              </w:rPr>
              <w:t>搅拌</w:t>
            </w:r>
            <w:r>
              <w:rPr>
                <w:rFonts w:hint="eastAsia"/>
                <w:color w:val="auto"/>
                <w:lang w:val="en-US" w:eastAsia="zh-CN"/>
              </w:rPr>
              <w:t>仅工作时间内进行，其余时间静置发酵。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（8）菜液分离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发酵结束后，人工捞出酸菜送入酸菜车间进行加工，浆水经管道收集后经精密双联过滤器进行过滤，去除浆水中少量面粉、蔬菜渣，过滤后的浆水泵入原浆罐中暂存，</w:t>
            </w:r>
            <w:r>
              <w:rPr>
                <w:rFonts w:hint="eastAsia" w:ascii="Times New Roman" w:eastAsia="宋体"/>
                <w:color w:val="auto"/>
                <w:lang w:val="en-US" w:eastAsia="zh-CN"/>
              </w:rPr>
              <w:t>该过程将产生少量固废及噪声</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（9）浆水包装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浆水经管道进入包装机进行灌装包装，该过程会产生噪声。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（10）消毒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袋装浆水灌装后经巴氏消毒法进行消毒，消灭细菌，保证产品的品质，该过程会产生噪声。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（11）质检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厂内仅进行酸度的检测，使用酸度计对成品进行检测，其余检测项目委外进行，质检过程会产生不合格品，根据武山同类型项目（甘肃陇浆源农业科技有限公司年产5000吨浆水酸菜生产线项目）运行经验数据，不合格产品率为万分之</w:t>
            </w:r>
            <w:r>
              <w:rPr>
                <w:rFonts w:hint="eastAsia" w:ascii="Times New Roman" w:eastAsia="宋体"/>
                <w:color w:val="auto"/>
                <w:lang w:val="en-US" w:eastAsia="zh-CN"/>
              </w:rPr>
              <w:t>0.4</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（12）打包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袋装浆水按照一定数量使用纸箱进行包装，包装后的成品暂存在成品堆放区，当日出库外售。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2、酸菜生产线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风味山野酸菜是以山野菜、新鲜蔬菜和水为主要原料，经传统乳酸菌发酵工艺制成的浆水酸菜，再辅以香辛料、食用盐、白砂糖、酱油、芝麻油、鸡精、味精、鸡粉、辣椒、芝麻、植物油、添加或不添加食品添加剂（山梨酸钾、脱氢乙酸钠、D-异抗坏血酸钠、乙基麦芽酚）等，经包装、杀菌等工序制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（1）预处理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进行泡椒、仔姜斩碎等工作，浆水生产线发酵产生的酸菜人工收集至酸菜加工间，按照一定比例投入食盐、辣椒、酱油等配料进行入搅拌机搅拌。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（2）投加搅拌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严格按不同口味的产品配方进行辅料、食品添加剂等称量后倒入拌料机，以60r/min的速度进行拌料，搅拌时间6min/锅，该过程产生噪声。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（3）包装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搅拌后的产品经包装机按规定的量进行装袋，并热封封口，塑封温度130～150℃。包装后的产品会自动喷码，喷码标识在袋身，要求日期准确，字迹清楚。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（4）消毒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完成喷码后的产品经巴氏杀菌进行消毒后产品</w:t>
            </w:r>
            <w:r>
              <w:rPr>
                <w:rFonts w:hint="default"/>
                <w:color w:val="auto"/>
                <w:lang w:val="en-US" w:eastAsia="zh-CN"/>
              </w:rPr>
              <w:t>按</w:t>
            </w:r>
            <w:r>
              <w:rPr>
                <w:rFonts w:hint="eastAsia"/>
                <w:color w:val="auto"/>
                <w:lang w:val="en-US" w:eastAsia="zh-CN"/>
              </w:rPr>
              <w:t>40</w:t>
            </w:r>
            <w:r>
              <w:rPr>
                <w:rFonts w:hint="default"/>
                <w:color w:val="auto"/>
                <w:lang w:val="en-US" w:eastAsia="zh-CN"/>
              </w:rPr>
              <w:t>袋/箱，</w:t>
            </w:r>
            <w:r>
              <w:rPr>
                <w:rFonts w:hint="eastAsia"/>
                <w:color w:val="auto"/>
                <w:lang w:val="en-US" w:eastAsia="zh-CN"/>
              </w:rPr>
              <w:t>由人工</w:t>
            </w:r>
            <w:r>
              <w:rPr>
                <w:rFonts w:hint="default"/>
                <w:color w:val="auto"/>
                <w:lang w:val="en-US" w:eastAsia="zh-CN"/>
              </w:rPr>
              <w:t>进行分装，分装后使用印字胶带进行封合，箱体封合良好、平整。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rPr>
              <w:t>成品检验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按照批次对生产的风味山野酸菜取样进行出厂检验，检测项目委外进行，检验合格后转入成品区域暂存，当天出厂外售。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p>
          <w:p>
            <w:pPr>
              <w:pStyle w:val="34"/>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pStyle w:val="34"/>
              <w:rPr>
                <w:rFonts w:hint="eastAsia"/>
                <w:color w:val="auto"/>
                <w:lang w:val="en-US" w:eastAsia="zh-CN"/>
              </w:rPr>
            </w:pPr>
          </w:p>
          <w:p>
            <w:pPr>
              <w:pStyle w:val="34"/>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object>
                <v:shape id="_x0000_i1028" o:spt="75" type="#_x0000_t75" style="height:560.6pt;width:396.75pt;" o:ole="t" filled="f" o:preferrelative="t" stroked="t" coordsize="21600,21600">
                  <v:path/>
                  <v:fill on="f" focussize="0,0"/>
                  <v:stroke color="#000000"/>
                  <v:imagedata r:id="rId13" o:title=""/>
                  <o:lock v:ext="edit" aspectratio="f"/>
                  <w10:wrap type="none"/>
                  <w10:anchorlock/>
                </v:shape>
                <o:OLEObject Type="Embed" ProgID="Visio.Drawing.11" ShapeID="_x0000_i1028" DrawAspect="Content" ObjectID="_1468075728" r:id="rId12">
                  <o:LockedField>false</o:LockedField>
                </o:OLEObject>
              </w:object>
            </w:r>
            <w:r>
              <w:rPr>
                <w:rFonts w:hint="default" w:ascii="Times New Roman" w:hAnsi="Times New Roman" w:cs="Times New Roman"/>
                <w:b/>
                <w:bCs/>
                <w:color w:val="auto"/>
                <w:lang w:val="en-US" w:eastAsia="zh-CN"/>
              </w:rPr>
              <w:t>图2-4   运营期工艺流程及产污环节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3、纯水制备</w:t>
            </w:r>
          </w:p>
          <w:p>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（1）石英砂过滤、活性炭过滤、聚乙烯纤维棒过滤</w:t>
            </w:r>
          </w:p>
          <w:p>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新鲜水依次通过石英砂、活性炭、聚乙烯纤维棒进行过滤，石英砂过滤主要作用是去除水中颗粒大的杂质，活性炭过滤的主要作用是去除水中异味、异臭、有机物等杂质，聚乙烯纤维棒可进一步去除水中悬浮物、有机物等，对水质进行精密过滤。</w:t>
            </w:r>
          </w:p>
          <w:p>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（2）反渗透</w:t>
            </w:r>
          </w:p>
          <w:p>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利用反渗透膜的选择性透过原理再进行精滤，即通过泵对经过反渗透膜的原水施加一定压力，在压力作用下原水中的水分子可以透过膜而渗析出来，而其他无机盐、微生物与有机物等却由于反渗透膜对这些物质的截留特性而不能透过膜，从而可以获得纯水。</w:t>
            </w: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lang w:val="en-US" w:eastAsia="zh-CN"/>
              </w:rPr>
            </w:pPr>
            <w:r>
              <w:rPr>
                <w:rFonts w:hint="eastAsia"/>
                <w:color w:val="auto"/>
                <w:lang w:val="en-US" w:eastAsia="zh-CN"/>
              </w:rPr>
              <w:object>
                <v:shape id="_x0000_i1029" o:spt="75" type="#_x0000_t75" style="height:413.85pt;width:397.25pt;" o:ole="t" filled="f" o:preferrelative="t" stroked="t" coordsize="21600,21600">
                  <v:path/>
                  <v:fill on="f" focussize="0,0"/>
                  <v:stroke color="#000000"/>
                  <v:imagedata r:id="rId15" o:title=""/>
                  <o:lock v:ext="edit" aspectratio="f"/>
                  <w10:wrap type="none"/>
                  <w10:anchorlock/>
                </v:shape>
                <o:OLEObject Type="Embed" ProgID="Visio.Drawing.11" ShapeID="_x0000_i1029" DrawAspect="Content" ObjectID="_1468075729" r:id="rId14">
                  <o:LockedField>false</o:LockedField>
                </o:OLEObject>
              </w:object>
            </w:r>
            <w:r>
              <w:rPr>
                <w:rFonts w:hint="eastAsia"/>
                <w:b/>
                <w:bCs/>
                <w:color w:val="auto"/>
                <w:lang w:val="en-US" w:eastAsia="zh-CN"/>
              </w:rPr>
              <w:t>图2-5  纯水设备制备及产污结点示意图</w:t>
            </w:r>
          </w:p>
          <w:p>
            <w:pPr>
              <w:widowControl/>
              <w:spacing w:line="360" w:lineRule="auto"/>
              <w:ind w:firstLine="506" w:firstLineChars="200"/>
              <w:rPr>
                <w:b/>
                <w:bCs/>
                <w:color w:val="auto"/>
                <w:spacing w:val="6"/>
                <w:sz w:val="24"/>
              </w:rPr>
            </w:pPr>
            <w:r>
              <w:rPr>
                <w:b/>
                <w:bCs/>
                <w:color w:val="auto"/>
                <w:spacing w:val="6"/>
                <w:sz w:val="24"/>
              </w:rPr>
              <w:t>产排污环节分析</w:t>
            </w:r>
          </w:p>
          <w:p>
            <w:pPr>
              <w:widowControl/>
              <w:spacing w:line="360" w:lineRule="auto"/>
              <w:ind w:firstLine="504" w:firstLineChars="200"/>
              <w:rPr>
                <w:bCs/>
                <w:color w:val="auto"/>
                <w:spacing w:val="6"/>
                <w:sz w:val="24"/>
              </w:rPr>
            </w:pPr>
            <w:r>
              <w:rPr>
                <w:bCs/>
                <w:color w:val="auto"/>
                <w:spacing w:val="6"/>
                <w:sz w:val="24"/>
              </w:rPr>
              <w:t>根据生产过程，现有项目产排污环节具体见表2-</w:t>
            </w:r>
            <w:r>
              <w:rPr>
                <w:rFonts w:hint="eastAsia"/>
                <w:bCs/>
                <w:color w:val="auto"/>
                <w:spacing w:val="6"/>
                <w:sz w:val="24"/>
                <w:lang w:val="en-US" w:eastAsia="zh-CN"/>
              </w:rPr>
              <w:t>11</w:t>
            </w:r>
            <w:r>
              <w:rPr>
                <w:bCs/>
                <w:color w:val="auto"/>
                <w:spacing w:val="6"/>
                <w:sz w:val="24"/>
              </w:rPr>
              <w:t>。</w:t>
            </w:r>
          </w:p>
          <w:p>
            <w:pPr>
              <w:widowControl/>
              <w:jc w:val="center"/>
              <w:rPr>
                <w:b/>
                <w:bCs/>
                <w:color w:val="auto"/>
                <w:spacing w:val="6"/>
                <w:sz w:val="24"/>
              </w:rPr>
            </w:pPr>
            <w:r>
              <w:rPr>
                <w:b/>
                <w:bCs/>
                <w:color w:val="auto"/>
                <w:spacing w:val="6"/>
                <w:sz w:val="24"/>
              </w:rPr>
              <w:t>表2-</w:t>
            </w:r>
            <w:r>
              <w:rPr>
                <w:rFonts w:hint="eastAsia"/>
                <w:b/>
                <w:bCs/>
                <w:color w:val="auto"/>
                <w:spacing w:val="6"/>
                <w:sz w:val="24"/>
                <w:lang w:val="en-US" w:eastAsia="zh-CN"/>
              </w:rPr>
              <w:t>11</w:t>
            </w:r>
            <w:r>
              <w:rPr>
                <w:b/>
                <w:bCs/>
                <w:color w:val="auto"/>
                <w:spacing w:val="6"/>
                <w:sz w:val="24"/>
              </w:rPr>
              <w:t xml:space="preserve">  项目产排污环节分析一览表</w:t>
            </w:r>
          </w:p>
          <w:tbl>
            <w:tblPr>
              <w:tblStyle w:val="24"/>
              <w:tblW w:w="794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924"/>
              <w:gridCol w:w="2228"/>
              <w:gridCol w:w="30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6"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类型</w:t>
                  </w:r>
                </w:p>
              </w:tc>
              <w:tc>
                <w:tcPr>
                  <w:tcW w:w="1924"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w:t>
                  </w:r>
                </w:p>
              </w:tc>
              <w:tc>
                <w:tcPr>
                  <w:tcW w:w="2228"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主要污染物</w:t>
                  </w:r>
                </w:p>
              </w:tc>
              <w:tc>
                <w:tcPr>
                  <w:tcW w:w="3097"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96" w:type="dxa"/>
                  <w:vMerge w:val="restar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废气</w:t>
                  </w:r>
                </w:p>
              </w:tc>
              <w:tc>
                <w:tcPr>
                  <w:tcW w:w="1924" w:type="dxa"/>
                  <w:vMerge w:val="restart"/>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锅炉</w:t>
                  </w:r>
                </w:p>
              </w:tc>
              <w:tc>
                <w:tcPr>
                  <w:tcW w:w="2228"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3097"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锅炉采用低氮燃烧器+8m</w:t>
                  </w:r>
                  <w:r>
                    <w:rPr>
                      <w:rFonts w:hint="eastAsia" w:cs="Times New Roman"/>
                      <w:color w:val="auto"/>
                      <w:sz w:val="21"/>
                      <w:szCs w:val="21"/>
                      <w:lang w:val="en-US" w:eastAsia="zh-CN"/>
                    </w:rPr>
                    <w:t>烟囱</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p>
              </w:tc>
              <w:tc>
                <w:tcPr>
                  <w:tcW w:w="1924"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2228"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二氧化硫</w:t>
                  </w:r>
                </w:p>
              </w:tc>
              <w:tc>
                <w:tcPr>
                  <w:tcW w:w="309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p>
              </w:tc>
              <w:tc>
                <w:tcPr>
                  <w:tcW w:w="1924"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2228"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p>
              </w:tc>
              <w:tc>
                <w:tcPr>
                  <w:tcW w:w="309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p>
              </w:tc>
              <w:tc>
                <w:tcPr>
                  <w:tcW w:w="1924"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食堂</w:t>
                  </w:r>
                </w:p>
              </w:tc>
              <w:tc>
                <w:tcPr>
                  <w:tcW w:w="2228"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油烟</w:t>
                  </w:r>
                </w:p>
              </w:tc>
              <w:tc>
                <w:tcPr>
                  <w:tcW w:w="3097"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油烟净化器</w:t>
                  </w:r>
                  <w:r>
                    <w:rPr>
                      <w:rFonts w:hint="eastAsia" w:cs="Times New Roman"/>
                      <w:color w:val="auto"/>
                      <w:sz w:val="21"/>
                      <w:szCs w:val="21"/>
                      <w:lang w:val="en-US" w:eastAsia="zh-CN"/>
                    </w:rPr>
                    <w:t>+专属烟道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92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配料间</w:t>
                  </w:r>
                </w:p>
              </w:tc>
              <w:tc>
                <w:tcPr>
                  <w:tcW w:w="222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油烟</w:t>
                  </w:r>
                </w:p>
              </w:tc>
              <w:tc>
                <w:tcPr>
                  <w:tcW w:w="309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油烟净化器</w:t>
                  </w:r>
                  <w:r>
                    <w:rPr>
                      <w:rFonts w:hint="eastAsia" w:cs="Times New Roman"/>
                      <w:color w:val="auto"/>
                      <w:sz w:val="21"/>
                      <w:szCs w:val="21"/>
                      <w:lang w:val="en-US" w:eastAsia="zh-CN"/>
                    </w:rPr>
                    <w:t>+专属烟道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92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面粉熬制面汤</w:t>
                  </w:r>
                </w:p>
              </w:tc>
              <w:tc>
                <w:tcPr>
                  <w:tcW w:w="222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309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车间</w:t>
                  </w:r>
                  <w:r>
                    <w:rPr>
                      <w:rFonts w:hint="eastAsia" w:cs="Times New Roman"/>
                      <w:color w:val="auto"/>
                      <w:sz w:val="21"/>
                      <w:szCs w:val="21"/>
                      <w:lang w:val="en-US" w:eastAsia="zh-CN"/>
                    </w:rPr>
                    <w:t>空气净化系统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924"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发酵间</w:t>
                  </w:r>
                </w:p>
              </w:tc>
              <w:tc>
                <w:tcPr>
                  <w:tcW w:w="2228"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恶臭浓度</w:t>
                  </w:r>
                </w:p>
              </w:tc>
              <w:tc>
                <w:tcPr>
                  <w:tcW w:w="3097"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车间</w:t>
                  </w:r>
                  <w:r>
                    <w:rPr>
                      <w:rFonts w:hint="eastAsia" w:cs="Times New Roman"/>
                      <w:color w:val="auto"/>
                      <w:sz w:val="21"/>
                      <w:szCs w:val="21"/>
                      <w:lang w:val="en-US" w:eastAsia="zh-CN"/>
                    </w:rPr>
                    <w:t>空气净化系统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96" w:type="dxa"/>
                  <w:vMerge w:val="restar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w:t>
                  </w:r>
                </w:p>
              </w:tc>
              <w:tc>
                <w:tcPr>
                  <w:tcW w:w="192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生产废水</w:t>
                  </w:r>
                </w:p>
              </w:tc>
              <w:tc>
                <w:tcPr>
                  <w:tcW w:w="222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pH、</w:t>
                  </w:r>
                  <w:r>
                    <w:rPr>
                      <w:rFonts w:hint="eastAsia" w:ascii="Times New Roman" w:hAnsi="Times New Roman" w:cs="Times New Roman"/>
                      <w:color w:val="auto"/>
                      <w:sz w:val="21"/>
                      <w:szCs w:val="21"/>
                      <w:lang w:val="en-US" w:eastAsia="zh-CN"/>
                    </w:rPr>
                    <w:t>氨氮</w:t>
                  </w:r>
                </w:p>
              </w:tc>
              <w:tc>
                <w:tcPr>
                  <w:tcW w:w="309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经设置的地埋一体式污水处理设备处理后排入园区污水管网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p>
              </w:tc>
              <w:tc>
                <w:tcPr>
                  <w:tcW w:w="192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锅炉定期排污</w:t>
                  </w:r>
                </w:p>
              </w:tc>
              <w:tc>
                <w:tcPr>
                  <w:tcW w:w="2228"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Ca</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、Mg</w:t>
                  </w:r>
                  <w:r>
                    <w:rPr>
                      <w:rFonts w:hint="eastAsia"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vertAlign w:val="baseline"/>
                      <w:lang w:val="en-US" w:eastAsia="zh-CN"/>
                    </w:rPr>
                    <w:t>、SS</w:t>
                  </w:r>
                </w:p>
              </w:tc>
              <w:tc>
                <w:tcPr>
                  <w:tcW w:w="3097"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水质较为清洁，经</w:t>
                  </w:r>
                  <w:r>
                    <w:rPr>
                      <w:rFonts w:hint="eastAsia" w:ascii="Times New Roman" w:hAnsi="Times New Roman" w:eastAsia="宋体" w:cs="Times New Roman"/>
                      <w:color w:val="auto"/>
                      <w:sz w:val="21"/>
                      <w:szCs w:val="21"/>
                      <w:lang w:val="en-US" w:eastAsia="zh-CN"/>
                    </w:rPr>
                    <w:t>降温沉淀池处理后</w:t>
                  </w:r>
                  <w:r>
                    <w:rPr>
                      <w:rFonts w:hint="eastAsia" w:cs="Times New Roman"/>
                      <w:color w:val="auto"/>
                      <w:sz w:val="21"/>
                      <w:szCs w:val="21"/>
                      <w:lang w:val="en-US" w:eastAsia="zh-CN"/>
                    </w:rPr>
                    <w:t>排入园区雨水管网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p>
              </w:tc>
              <w:tc>
                <w:tcPr>
                  <w:tcW w:w="192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纯水制备</w:t>
                  </w:r>
                </w:p>
              </w:tc>
              <w:tc>
                <w:tcPr>
                  <w:tcW w:w="2228"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3097"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p>
              </w:tc>
              <w:tc>
                <w:tcPr>
                  <w:tcW w:w="192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2228"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eastAsia" w:cs="Times New Roman"/>
                      <w:color w:val="auto"/>
                      <w:sz w:val="21"/>
                      <w:szCs w:val="21"/>
                      <w:lang w:eastAsia="zh-CN"/>
                    </w:rPr>
                    <w:t>、</w:t>
                  </w:r>
                  <w:r>
                    <w:rPr>
                      <w:rFonts w:hint="eastAsia" w:ascii="Times New Roman" w:hAnsi="Times New Roman" w:cs="Times New Roman"/>
                      <w:color w:val="auto"/>
                      <w:sz w:val="21"/>
                      <w:szCs w:val="21"/>
                      <w:lang w:val="en-US" w:eastAsia="zh-CN"/>
                    </w:rPr>
                    <w:t>pH、</w:t>
                  </w:r>
                </w:p>
              </w:tc>
              <w:tc>
                <w:tcPr>
                  <w:tcW w:w="309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食堂废水经油水分离器处理后同生活污水排入化粪池处理后，</w:t>
                  </w:r>
                  <w:r>
                    <w:rPr>
                      <w:rFonts w:hint="eastAsia" w:ascii="Times New Roman" w:hAnsi="Times New Roman" w:eastAsia="宋体" w:cs="Times New Roman"/>
                      <w:color w:val="auto"/>
                      <w:sz w:val="21"/>
                      <w:szCs w:val="21"/>
                      <w:lang w:val="en-US" w:eastAsia="zh-CN"/>
                    </w:rPr>
                    <w:t>排入</w:t>
                  </w:r>
                  <w:r>
                    <w:rPr>
                      <w:rFonts w:hint="eastAsia" w:cs="Times New Roman"/>
                      <w:color w:val="auto"/>
                      <w:sz w:val="21"/>
                      <w:szCs w:val="21"/>
                      <w:lang w:val="en-US" w:eastAsia="zh-CN"/>
                    </w:rPr>
                    <w:t>园区污水</w:t>
                  </w:r>
                  <w:r>
                    <w:rPr>
                      <w:rFonts w:hint="eastAsia" w:ascii="Times New Roman" w:hAnsi="Times New Roman" w:eastAsia="宋体" w:cs="Times New Roman"/>
                      <w:color w:val="auto"/>
                      <w:sz w:val="21"/>
                      <w:szCs w:val="21"/>
                      <w:lang w:val="en-US" w:eastAsia="zh-CN"/>
                    </w:rPr>
                    <w:t>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6" w:type="dxa"/>
                  <w:vMerge w:val="restar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固废</w:t>
                  </w:r>
                </w:p>
              </w:tc>
              <w:tc>
                <w:tcPr>
                  <w:tcW w:w="192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原料拣选</w:t>
                  </w:r>
                </w:p>
              </w:tc>
              <w:tc>
                <w:tcPr>
                  <w:tcW w:w="222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杂草、烂菜叶</w:t>
                  </w:r>
                </w:p>
              </w:tc>
              <w:tc>
                <w:tcPr>
                  <w:tcW w:w="3097"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带盖容器收集后每日赠与周边村民用作牛羊饲料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p>
              </w:tc>
              <w:tc>
                <w:tcPr>
                  <w:tcW w:w="192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过滤杂质</w:t>
                  </w:r>
                </w:p>
              </w:tc>
              <w:tc>
                <w:tcPr>
                  <w:tcW w:w="222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面渣、蔬菜残渣</w:t>
                  </w:r>
                </w:p>
              </w:tc>
              <w:tc>
                <w:tcPr>
                  <w:tcW w:w="3097" w:type="dxa"/>
                  <w:vMerge w:val="continue"/>
                  <w:noWrap w:val="0"/>
                  <w:vAlign w:val="center"/>
                </w:tcPr>
                <w:p>
                  <w:pPr>
                    <w:adjustRightInd w:val="0"/>
                    <w:snapToGrid w:val="0"/>
                    <w:spacing w:line="240" w:lineRule="auto"/>
                    <w:jc w:val="center"/>
                    <w:rPr>
                      <w:rFonts w:hint="default" w:cs="Times New Roman"/>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92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员工生活办公</w:t>
                  </w:r>
                </w:p>
              </w:tc>
              <w:tc>
                <w:tcPr>
                  <w:tcW w:w="222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309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集中收集后交由园区环卫部门集中处置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924"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污水处理</w:t>
                  </w:r>
                </w:p>
              </w:tc>
              <w:tc>
                <w:tcPr>
                  <w:tcW w:w="2228"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污泥</w:t>
                  </w:r>
                </w:p>
              </w:tc>
              <w:tc>
                <w:tcPr>
                  <w:tcW w:w="309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压滤机脱水后运至当地垃圾填埋场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924" w:type="dxa"/>
                  <w:noWrap w:val="0"/>
                  <w:vAlign w:val="center"/>
                </w:tcPr>
                <w:p>
                  <w:pPr>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原料使用</w:t>
                  </w:r>
                </w:p>
              </w:tc>
              <w:tc>
                <w:tcPr>
                  <w:tcW w:w="2228" w:type="dxa"/>
                  <w:noWrap w:val="0"/>
                  <w:vAlign w:val="center"/>
                </w:tcPr>
                <w:p>
                  <w:pPr>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废包装材料</w:t>
                  </w:r>
                </w:p>
              </w:tc>
              <w:tc>
                <w:tcPr>
                  <w:tcW w:w="3097" w:type="dxa"/>
                  <w:noWrap w:val="0"/>
                  <w:vAlign w:val="center"/>
                </w:tcPr>
                <w:p>
                  <w:pPr>
                    <w:adjustRightInd w:val="0"/>
                    <w:snapToGrid w:val="0"/>
                    <w:spacing w:line="240" w:lineRule="auto"/>
                    <w:jc w:val="center"/>
                    <w:rPr>
                      <w:rFonts w:hint="default" w:cs="Times New Roman"/>
                      <w:color w:val="auto"/>
                      <w:sz w:val="21"/>
                      <w:szCs w:val="21"/>
                      <w:highlight w:val="none"/>
                      <w:lang w:val="en-US" w:eastAsia="zh-CN"/>
                    </w:rPr>
                  </w:pPr>
                  <w:r>
                    <w:rPr>
                      <w:rFonts w:hint="eastAsia" w:cs="宋体"/>
                      <w:color w:val="auto"/>
                      <w:kern w:val="2"/>
                      <w:sz w:val="21"/>
                      <w:szCs w:val="21"/>
                      <w:highlight w:val="none"/>
                      <w:lang w:val="en-US" w:eastAsia="zh-CN" w:bidi="ar-SA"/>
                    </w:rPr>
                    <w:t>废包装材料有价值的外售废品回收站，无利用价值的交环卫部门处置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924" w:type="dxa"/>
                  <w:noWrap w:val="0"/>
                  <w:vAlign w:val="center"/>
                </w:tcPr>
                <w:p>
                  <w:pPr>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质检</w:t>
                  </w:r>
                </w:p>
              </w:tc>
              <w:tc>
                <w:tcPr>
                  <w:tcW w:w="2228" w:type="dxa"/>
                  <w:noWrap w:val="0"/>
                  <w:vAlign w:val="center"/>
                </w:tcPr>
                <w:p>
                  <w:pPr>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不合格产品</w:t>
                  </w:r>
                </w:p>
              </w:tc>
              <w:tc>
                <w:tcPr>
                  <w:tcW w:w="3097" w:type="dxa"/>
                  <w:noWrap w:val="0"/>
                  <w:vAlign w:val="center"/>
                </w:tcPr>
                <w:p>
                  <w:pPr>
                    <w:spacing w:line="240" w:lineRule="auto"/>
                    <w:jc w:val="center"/>
                    <w:rPr>
                      <w:rFonts w:hint="default" w:cs="Times New Roman"/>
                      <w:color w:val="auto"/>
                      <w:sz w:val="21"/>
                      <w:szCs w:val="21"/>
                      <w:highlight w:val="none"/>
                      <w:lang w:val="en-US" w:eastAsia="zh-CN"/>
                    </w:rPr>
                  </w:pPr>
                  <w:r>
                    <w:rPr>
                      <w:rFonts w:hint="eastAsia" w:ascii="Times New Roman" w:hAnsi="Times New Roman" w:cs="宋体"/>
                      <w:color w:val="auto"/>
                      <w:kern w:val="2"/>
                      <w:sz w:val="21"/>
                      <w:szCs w:val="21"/>
                      <w:highlight w:val="none"/>
                      <w:lang w:val="en-US" w:eastAsia="zh-CN" w:bidi="ar-SA"/>
                    </w:rPr>
                    <w:t>不合格产品去除包装后，浆水排入地埋一体式污水处理设施处理，其余固体废物经带盖容器收集后作为餐厨垃圾交有资质单位处置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924" w:type="dxa"/>
                  <w:noWrap w:val="0"/>
                  <w:vAlign w:val="center"/>
                </w:tcPr>
                <w:p>
                  <w:pPr>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纯水制备</w:t>
                  </w:r>
                </w:p>
              </w:tc>
              <w:tc>
                <w:tcPr>
                  <w:tcW w:w="2228" w:type="dxa"/>
                  <w:noWrap w:val="0"/>
                  <w:vAlign w:val="center"/>
                </w:tcPr>
                <w:p>
                  <w:pPr>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废滤芯（废石英砂、废活性炭、废聚乙烯纤维棒、废反渗透膜）</w:t>
                  </w:r>
                </w:p>
              </w:tc>
              <w:tc>
                <w:tcPr>
                  <w:tcW w:w="3097" w:type="dxa"/>
                  <w:noWrap w:val="0"/>
                  <w:vAlign w:val="center"/>
                </w:tcPr>
                <w:p>
                  <w:pPr>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由厂家负责上门更换处置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6" w:type="dxa"/>
                  <w:tcBorders>
                    <w:bottom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噪声</w:t>
                  </w:r>
                </w:p>
              </w:tc>
              <w:tc>
                <w:tcPr>
                  <w:tcW w:w="1924" w:type="dxa"/>
                  <w:tcBorders>
                    <w:bottom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锅炉、水泵、</w:t>
                  </w:r>
                  <w:r>
                    <w:rPr>
                      <w:rFonts w:hint="eastAsia" w:cs="Times New Roman"/>
                      <w:color w:val="auto"/>
                      <w:sz w:val="21"/>
                      <w:szCs w:val="21"/>
                      <w:highlight w:val="none"/>
                      <w:lang w:val="en-US" w:eastAsia="zh-CN"/>
                    </w:rPr>
                    <w:t>纯水机、</w:t>
                  </w:r>
                  <w:r>
                    <w:rPr>
                      <w:rFonts w:hint="eastAsia" w:ascii="Times New Roman" w:hAnsi="Times New Roman" w:eastAsia="宋体" w:cs="Times New Roman"/>
                      <w:color w:val="auto"/>
                      <w:sz w:val="21"/>
                      <w:szCs w:val="21"/>
                      <w:highlight w:val="none"/>
                      <w:lang w:val="en-US" w:eastAsia="zh-CN"/>
                    </w:rPr>
                    <w:t>生产设备</w:t>
                  </w:r>
                  <w:r>
                    <w:rPr>
                      <w:rFonts w:hint="eastAsia" w:cs="Times New Roman"/>
                      <w:color w:val="auto"/>
                      <w:sz w:val="21"/>
                      <w:szCs w:val="21"/>
                      <w:highlight w:val="none"/>
                      <w:lang w:val="en-US" w:eastAsia="zh-CN"/>
                    </w:rPr>
                    <w:t>、压滤机等</w:t>
                  </w:r>
                </w:p>
              </w:tc>
              <w:tc>
                <w:tcPr>
                  <w:tcW w:w="2228" w:type="dxa"/>
                  <w:tcBorders>
                    <w:bottom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3097" w:type="dxa"/>
                  <w:tcBorders>
                    <w:bottom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优先选取低噪声设备，部分高噪声设备采取基础减振，厂区禁止鸣笛、限速等</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锅炉房使用隔声门窗。</w:t>
                  </w:r>
                </w:p>
              </w:tc>
            </w:tr>
          </w:tbl>
          <w:p>
            <w:pPr>
              <w:rPr>
                <w:rFonts w:hint="default" w:eastAsia="宋体"/>
                <w:b/>
                <w:bCs/>
                <w:color w:val="auto"/>
                <w:sz w:val="24"/>
                <w:szCs w:val="32"/>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jc w:val="center"/>
        </w:trPr>
        <w:tc>
          <w:tcPr>
            <w:tcW w:w="823" w:type="dxa"/>
            <w:noWrap w:val="0"/>
            <w:vAlign w:val="center"/>
          </w:tcPr>
          <w:p>
            <w:pPr>
              <w:widowControl/>
              <w:adjustRightInd w:val="0"/>
              <w:snapToGrid w:val="0"/>
              <w:spacing w:before="0" w:beforeAutospacing="0" w:after="0" w:afterAutospacing="0"/>
              <w:jc w:val="center"/>
              <w:rPr>
                <w:rFonts w:ascii="宋体" w:hAnsi="宋体" w:eastAsia="宋体" w:cs="宋体"/>
                <w:color w:val="auto"/>
                <w:kern w:val="0"/>
                <w:sz w:val="21"/>
                <w:szCs w:val="21"/>
                <w:lang w:val="en-US" w:eastAsia="zh-CN" w:bidi="ar-SA"/>
              </w:rPr>
            </w:pPr>
            <w:r>
              <w:rPr>
                <w:rFonts w:hint="eastAsia" w:ascii="宋体" w:hAnsi="宋体" w:eastAsia="宋体" w:cs="宋体"/>
                <w:bCs/>
                <w:color w:val="auto"/>
                <w:kern w:val="2"/>
                <w:sz w:val="21"/>
                <w:szCs w:val="21"/>
                <w:lang w:val="en-US" w:eastAsia="zh-CN" w:bidi="ar-SA"/>
              </w:rPr>
              <w:t>与项目有关的原有环境污染问题</w:t>
            </w:r>
          </w:p>
        </w:tc>
        <w:tc>
          <w:tcPr>
            <w:tcW w:w="8161" w:type="dxa"/>
            <w:noWrap w:val="0"/>
            <w:vAlign w:val="top"/>
          </w:tcPr>
          <w:p>
            <w:pPr>
              <w:ind w:firstLine="480" w:firstLineChars="200"/>
              <w:rPr>
                <w:rFonts w:hint="default" w:eastAsia="宋体"/>
                <w:bCs/>
                <w:color w:val="auto"/>
                <w:sz w:val="24"/>
                <w:highlight w:val="none"/>
                <w:lang w:val="en-US" w:eastAsia="zh-CN"/>
              </w:rPr>
            </w:pPr>
            <w:r>
              <w:rPr>
                <w:bCs/>
                <w:color w:val="auto"/>
                <w:sz w:val="24"/>
                <w:highlight w:val="none"/>
              </w:rPr>
              <w:t>本项目为新建项目，</w:t>
            </w:r>
            <w:r>
              <w:rPr>
                <w:rFonts w:hint="eastAsia"/>
                <w:bCs/>
                <w:color w:val="auto"/>
                <w:sz w:val="24"/>
                <w:highlight w:val="none"/>
                <w:lang w:val="en-US" w:eastAsia="zh-CN"/>
              </w:rPr>
              <w:t>项目租用和政县城乡建设投资有限公司的和</w:t>
            </w:r>
            <w:r>
              <w:rPr>
                <w:rFonts w:hint="eastAsia" w:ascii="Times New Roman" w:hAnsi="Times New Roman" w:eastAsia="宋体" w:cs="Times New Roman"/>
                <w:color w:val="auto"/>
              </w:rPr>
              <w:t>政循环经济生产园区辐照产业园</w:t>
            </w:r>
            <w:r>
              <w:rPr>
                <w:rFonts w:hint="eastAsia" w:ascii="Times New Roman" w:hAnsi="Times New Roman" w:eastAsia="宋体" w:cs="Times New Roman"/>
                <w:color w:val="auto"/>
                <w:lang w:val="en-US" w:eastAsia="zh-CN"/>
              </w:rPr>
              <w:t>车间及场地</w:t>
            </w:r>
            <w:r>
              <w:rPr>
                <w:rFonts w:hint="eastAsia"/>
                <w:bCs/>
                <w:color w:val="auto"/>
                <w:sz w:val="24"/>
                <w:highlight w:val="none"/>
                <w:lang w:val="en-US" w:eastAsia="zh-CN"/>
              </w:rPr>
              <w:t>，</w:t>
            </w:r>
            <w:r>
              <w:rPr>
                <w:rFonts w:hint="eastAsia" w:ascii="Times New Roman" w:eastAsia="宋体"/>
                <w:bCs/>
                <w:color w:val="auto"/>
                <w:sz w:val="24"/>
                <w:highlight w:val="none"/>
                <w:lang w:val="en-US" w:eastAsia="zh-CN"/>
              </w:rPr>
              <w:t>和</w:t>
            </w:r>
            <w:r>
              <w:rPr>
                <w:rFonts w:hint="eastAsia" w:ascii="Times New Roman" w:hAnsi="Times New Roman" w:eastAsia="宋体" w:cs="Times New Roman"/>
                <w:color w:val="auto"/>
              </w:rPr>
              <w:t>政循环经济生产园区辐照产业园</w:t>
            </w:r>
            <w:r>
              <w:rPr>
                <w:rFonts w:hint="eastAsia" w:cs="Times New Roman"/>
                <w:color w:val="auto"/>
                <w:lang w:val="en-US" w:eastAsia="zh-CN"/>
              </w:rPr>
              <w:t>建成后尚未使用，现状为空置厂房</w:t>
            </w:r>
          </w:p>
          <w:p>
            <w:pPr>
              <w:ind w:firstLine="480" w:firstLineChars="200"/>
              <w:rPr>
                <w:bCs/>
                <w:color w:val="auto"/>
                <w:sz w:val="24"/>
                <w:highlight w:val="none"/>
              </w:rPr>
            </w:pPr>
            <w:r>
              <w:rPr>
                <w:rFonts w:hint="eastAsia"/>
                <w:bCs/>
                <w:color w:val="auto"/>
                <w:sz w:val="24"/>
                <w:highlight w:val="none"/>
                <w:lang w:val="en-US" w:eastAsia="zh-CN"/>
              </w:rPr>
              <w:t>本次拟新建1座办公楼、1座锅炉房、1座冷藏库，</w:t>
            </w:r>
            <w:r>
              <w:rPr>
                <w:bCs/>
                <w:color w:val="auto"/>
                <w:sz w:val="24"/>
                <w:highlight w:val="none"/>
              </w:rPr>
              <w:t>根据现场调查，不存在环境遗留问题。</w:t>
            </w:r>
          </w:p>
          <w:p>
            <w:pPr>
              <w:bidi w:val="0"/>
              <w:rPr>
                <w:rFonts w:hint="eastAsia"/>
                <w:color w:val="auto"/>
                <w:lang w:val="en-US" w:eastAsia="zh-CN"/>
              </w:rPr>
            </w:pPr>
          </w:p>
          <w:p>
            <w:pPr>
              <w:bidi w:val="0"/>
              <w:rPr>
                <w:color w:val="auto"/>
              </w:rPr>
            </w:pPr>
          </w:p>
        </w:tc>
      </w:tr>
    </w:tbl>
    <w:p>
      <w:pPr>
        <w:widowControl/>
        <w:spacing w:before="100" w:beforeAutospacing="1" w:after="100" w:afterAutospacing="1"/>
        <w:jc w:val="center"/>
        <w:outlineLvl w:val="0"/>
        <w:rPr>
          <w:rFonts w:hint="eastAsia" w:ascii="黑体" w:hAnsi="黑体" w:eastAsia="黑体" w:cs="Times New Roman"/>
          <w:snapToGrid w:val="0"/>
          <w:color w:val="auto"/>
          <w:kern w:val="0"/>
          <w:sz w:val="30"/>
          <w:szCs w:val="30"/>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spacing w:before="100" w:beforeAutospacing="1" w:after="100" w:afterAutospacing="1"/>
        <w:jc w:val="center"/>
        <w:outlineLvl w:val="0"/>
        <w:rPr>
          <w:rFonts w:ascii="黑体" w:hAnsi="黑体" w:eastAsia="黑体" w:cs="Times New Roman"/>
          <w:snapToGrid w:val="0"/>
          <w:color w:val="auto"/>
          <w:kern w:val="0"/>
          <w:sz w:val="30"/>
          <w:szCs w:val="30"/>
          <w:lang w:val="en-US" w:eastAsia="zh-CN" w:bidi="ar-SA"/>
        </w:rPr>
      </w:pPr>
      <w:r>
        <w:rPr>
          <w:rFonts w:hint="eastAsia" w:ascii="黑体" w:hAnsi="黑体" w:eastAsia="黑体" w:cs="Times New Roman"/>
          <w:snapToGrid w:val="0"/>
          <w:color w:val="auto"/>
          <w:kern w:val="0"/>
          <w:sz w:val="30"/>
          <w:szCs w:val="30"/>
          <w:lang w:val="en-US" w:eastAsia="zh-CN" w:bidi="ar-SA"/>
        </w:rPr>
        <w:t>三、区域环境质量现状、环境保护目标及评价标准</w:t>
      </w:r>
    </w:p>
    <w:tbl>
      <w:tblPr>
        <w:tblStyle w:val="24"/>
        <w:tblW w:w="90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2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34" w:hRule="atLeast"/>
          <w:jc w:val="center"/>
        </w:trPr>
        <w:tc>
          <w:tcPr>
            <w:tcW w:w="80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区域</w:t>
            </w:r>
          </w:p>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w:t>
            </w:r>
          </w:p>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质量</w:t>
            </w:r>
          </w:p>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现状</w:t>
            </w:r>
          </w:p>
        </w:tc>
        <w:tc>
          <w:tcPr>
            <w:tcW w:w="8255" w:type="dxa"/>
            <w:noWrap w:val="0"/>
            <w:vAlign w:val="center"/>
          </w:tcPr>
          <w:p>
            <w:pPr>
              <w:spacing w:line="360" w:lineRule="auto"/>
              <w:ind w:firstLine="482"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sz w:val="24"/>
              </w:rPr>
              <w:t>一、环境空气质量现状</w:t>
            </w:r>
          </w:p>
          <w:p>
            <w:pPr>
              <w:autoSpaceDE w:val="0"/>
              <w:autoSpaceDN w:val="0"/>
              <w:adjustRightInd w:val="0"/>
              <w:snapToGrid w:val="0"/>
              <w:spacing w:line="360" w:lineRule="auto"/>
              <w:ind w:firstLine="482" w:firstLineChars="200"/>
              <w:rPr>
                <w:rFonts w:ascii="Times New Roman" w:hAnsi="Times New Roman" w:eastAsia="宋体" w:cs="Times New Roman"/>
                <w:b/>
                <w:color w:val="auto"/>
                <w:sz w:val="24"/>
              </w:rPr>
            </w:pPr>
            <w:bookmarkStart w:id="2" w:name="_Hlk144916439"/>
            <w:r>
              <w:rPr>
                <w:rFonts w:ascii="Times New Roman" w:hAnsi="Times New Roman" w:eastAsia="宋体" w:cs="Times New Roman"/>
                <w:b/>
                <w:color w:val="auto"/>
                <w:sz w:val="24"/>
              </w:rPr>
              <w:t>1、环境空气质量现状</w:t>
            </w:r>
          </w:p>
          <w:p>
            <w:pPr>
              <w:autoSpaceDE w:val="0"/>
              <w:autoSpaceDN w:val="0"/>
              <w:adjustRightInd w:val="0"/>
              <w:snapToGrid w:val="0"/>
              <w:spacing w:line="360" w:lineRule="auto"/>
              <w:ind w:firstLine="482" w:firstLineChars="200"/>
              <w:rPr>
                <w:rFonts w:ascii="Times New Roman" w:hAnsi="Times New Roman" w:eastAsia="宋体" w:cs="Times New Roman"/>
                <w:b/>
                <w:color w:val="auto"/>
                <w:sz w:val="24"/>
              </w:rPr>
            </w:pPr>
            <w:r>
              <w:rPr>
                <w:rFonts w:ascii="Times New Roman" w:hAnsi="Times New Roman" w:eastAsia="宋体" w:cs="Times New Roman"/>
                <w:b/>
                <w:color w:val="auto"/>
                <w:sz w:val="24"/>
              </w:rPr>
              <w:t>1.1达标区判定</w:t>
            </w:r>
          </w:p>
          <w:p>
            <w:pPr>
              <w:keepNext w:val="0"/>
              <w:keepLines w:val="0"/>
              <w:pageBreakBefore w:val="0"/>
              <w:widowControl w:val="0"/>
              <w:kinsoku/>
              <w:wordWrap/>
              <w:overflowPunct/>
              <w:topLinePunct w:val="0"/>
              <w:autoSpaceDE/>
              <w:autoSpaceDN w:val="0"/>
              <w:bidi w:val="0"/>
              <w:adjustRightInd/>
              <w:snapToGrid/>
              <w:spacing w:line="360" w:lineRule="auto"/>
              <w:ind w:firstLine="480" w:firstLineChars="200"/>
              <w:jc w:val="both"/>
              <w:textAlignment w:val="center"/>
              <w:rPr>
                <w:rFonts w:hint="default" w:ascii="Times New Roman" w:hAnsi="Times New Roman" w:eastAsia="宋体" w:cs="Times New Roman"/>
                <w:color w:val="auto"/>
                <w:kern w:val="2"/>
                <w:sz w:val="24"/>
                <w:szCs w:val="32"/>
                <w:lang w:val="en-US" w:eastAsia="zh-CN" w:bidi="ar-SA"/>
              </w:rPr>
            </w:pPr>
            <w:r>
              <w:rPr>
                <w:rFonts w:hint="default" w:ascii="Times New Roman" w:hAnsi="Times New Roman" w:eastAsia="宋体" w:cs="Times New Roman"/>
                <w:color w:val="auto"/>
                <w:kern w:val="2"/>
                <w:sz w:val="24"/>
                <w:szCs w:val="32"/>
                <w:lang w:val="en-US" w:eastAsia="zh-CN" w:bidi="ar-SA"/>
              </w:rPr>
              <w:t>根据导则要求优先采用国家或地方生态环境主管部门公开发布的评价基准年环境质量公告或环境质量报告中的数据或结论，采用生态环境主管部门公开发布的环境空气质量现状数据，城市环境空气质量达标情况评价指标为SO</w:t>
            </w:r>
            <w:r>
              <w:rPr>
                <w:rFonts w:hint="default" w:ascii="Times New Roman" w:hAnsi="Times New Roman" w:eastAsia="宋体" w:cs="Times New Roman"/>
                <w:color w:val="auto"/>
                <w:kern w:val="2"/>
                <w:sz w:val="24"/>
                <w:szCs w:val="32"/>
                <w:vertAlign w:val="subscript"/>
                <w:lang w:val="en-US" w:eastAsia="zh-CN" w:bidi="ar-SA"/>
              </w:rPr>
              <w:t>2</w:t>
            </w:r>
            <w:r>
              <w:rPr>
                <w:rFonts w:hint="default" w:ascii="Times New Roman" w:hAnsi="Times New Roman" w:eastAsia="宋体" w:cs="Times New Roman"/>
                <w:color w:val="auto"/>
                <w:kern w:val="2"/>
                <w:sz w:val="24"/>
                <w:szCs w:val="32"/>
                <w:lang w:val="en-US" w:eastAsia="zh-CN" w:bidi="ar-SA"/>
              </w:rPr>
              <w:t>、NO</w:t>
            </w:r>
            <w:r>
              <w:rPr>
                <w:rFonts w:hint="default" w:ascii="Times New Roman" w:hAnsi="Times New Roman" w:eastAsia="宋体" w:cs="Times New Roman"/>
                <w:color w:val="auto"/>
                <w:kern w:val="2"/>
                <w:sz w:val="24"/>
                <w:szCs w:val="32"/>
                <w:vertAlign w:val="subscript"/>
                <w:lang w:val="en-US" w:eastAsia="zh-CN" w:bidi="ar-SA"/>
              </w:rPr>
              <w:t>2</w:t>
            </w:r>
            <w:r>
              <w:rPr>
                <w:rFonts w:hint="default" w:ascii="Times New Roman" w:hAnsi="Times New Roman" w:eastAsia="宋体" w:cs="Times New Roman"/>
                <w:color w:val="auto"/>
                <w:kern w:val="2"/>
                <w:sz w:val="24"/>
                <w:szCs w:val="32"/>
                <w:lang w:val="en-US" w:eastAsia="zh-CN" w:bidi="ar-SA"/>
              </w:rPr>
              <w:t>、PM</w:t>
            </w:r>
            <w:r>
              <w:rPr>
                <w:rFonts w:hint="default" w:ascii="Times New Roman" w:hAnsi="Times New Roman" w:eastAsia="宋体" w:cs="Times New Roman"/>
                <w:color w:val="auto"/>
                <w:kern w:val="2"/>
                <w:sz w:val="24"/>
                <w:szCs w:val="32"/>
                <w:vertAlign w:val="subscript"/>
                <w:lang w:val="en-US" w:eastAsia="zh-CN" w:bidi="ar-SA"/>
              </w:rPr>
              <w:t>10</w:t>
            </w:r>
            <w:r>
              <w:rPr>
                <w:rFonts w:hint="default" w:ascii="Times New Roman" w:hAnsi="Times New Roman" w:eastAsia="宋体" w:cs="Times New Roman"/>
                <w:color w:val="auto"/>
                <w:kern w:val="2"/>
                <w:sz w:val="24"/>
                <w:szCs w:val="32"/>
                <w:lang w:val="en-US" w:eastAsia="zh-CN" w:bidi="ar-SA"/>
              </w:rPr>
              <w:t>、PM</w:t>
            </w:r>
            <w:r>
              <w:rPr>
                <w:rFonts w:hint="default" w:ascii="Times New Roman" w:hAnsi="Times New Roman" w:eastAsia="宋体" w:cs="Times New Roman"/>
                <w:color w:val="auto"/>
                <w:kern w:val="2"/>
                <w:sz w:val="24"/>
                <w:szCs w:val="32"/>
                <w:vertAlign w:val="subscript"/>
                <w:lang w:val="en-US" w:eastAsia="zh-CN" w:bidi="ar-SA"/>
              </w:rPr>
              <w:t>2.5</w:t>
            </w:r>
            <w:r>
              <w:rPr>
                <w:rFonts w:hint="default" w:ascii="Times New Roman" w:hAnsi="Times New Roman" w:eastAsia="宋体" w:cs="Times New Roman"/>
                <w:color w:val="auto"/>
                <w:kern w:val="2"/>
                <w:sz w:val="24"/>
                <w:szCs w:val="32"/>
                <w:lang w:val="en-US" w:eastAsia="zh-CN" w:bidi="ar-SA"/>
              </w:rPr>
              <w:t>、CO和O</w:t>
            </w:r>
            <w:r>
              <w:rPr>
                <w:rFonts w:hint="default" w:ascii="Times New Roman" w:hAnsi="Times New Roman" w:eastAsia="宋体" w:cs="Times New Roman"/>
                <w:color w:val="auto"/>
                <w:kern w:val="2"/>
                <w:sz w:val="24"/>
                <w:szCs w:val="32"/>
                <w:vertAlign w:val="subscript"/>
                <w:lang w:val="en-US" w:eastAsia="zh-CN" w:bidi="ar-SA"/>
              </w:rPr>
              <w:t>3</w:t>
            </w:r>
            <w:r>
              <w:rPr>
                <w:rFonts w:hint="default" w:ascii="Times New Roman" w:hAnsi="Times New Roman" w:eastAsia="宋体" w:cs="Times New Roman"/>
                <w:color w:val="auto"/>
                <w:kern w:val="2"/>
                <w:sz w:val="24"/>
                <w:szCs w:val="32"/>
                <w:lang w:val="en-US" w:eastAsia="zh-CN" w:bidi="ar-SA"/>
              </w:rPr>
              <w:t>，六项污染物全部达标即为城市环境空气质量达标。</w:t>
            </w:r>
          </w:p>
          <w:p>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jc w:val="both"/>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0"/>
                <w:lang w:val="en-US" w:eastAsia="zh-CN" w:bidi="ar-SA"/>
              </w:rPr>
              <w:t>根据甘肃省生态环境厅公开发布的《2023年甘肃省生态环境状况公报》</w:t>
            </w:r>
            <w:r>
              <w:rPr>
                <w:rFonts w:hint="default" w:ascii="Times New Roman" w:hAnsi="Times New Roman" w:eastAsia="宋体" w:cs="Times New Roman"/>
                <w:color w:val="auto"/>
                <w:kern w:val="2"/>
                <w:sz w:val="24"/>
                <w:szCs w:val="32"/>
                <w:lang w:val="en-US" w:eastAsia="zh-CN" w:bidi="ar-SA"/>
              </w:rPr>
              <w:t>，临夏州2023年SO</w:t>
            </w:r>
            <w:r>
              <w:rPr>
                <w:rFonts w:hint="default" w:ascii="Times New Roman" w:hAnsi="Times New Roman" w:eastAsia="宋体" w:cs="Times New Roman"/>
                <w:color w:val="auto"/>
                <w:kern w:val="2"/>
                <w:sz w:val="24"/>
                <w:szCs w:val="32"/>
                <w:vertAlign w:val="subscript"/>
                <w:lang w:val="en-US" w:eastAsia="zh-CN" w:bidi="ar-SA"/>
              </w:rPr>
              <w:t>2</w:t>
            </w:r>
            <w:r>
              <w:rPr>
                <w:rFonts w:hint="default" w:ascii="Times New Roman" w:hAnsi="Times New Roman" w:eastAsia="宋体" w:cs="Times New Roman"/>
                <w:color w:val="auto"/>
                <w:kern w:val="2"/>
                <w:sz w:val="24"/>
                <w:szCs w:val="32"/>
                <w:lang w:val="en-US" w:eastAsia="zh-CN" w:bidi="ar-SA"/>
              </w:rPr>
              <w:t>、NO</w:t>
            </w:r>
            <w:r>
              <w:rPr>
                <w:rFonts w:hint="default" w:ascii="Times New Roman" w:hAnsi="Times New Roman" w:eastAsia="宋体" w:cs="Times New Roman"/>
                <w:color w:val="auto"/>
                <w:kern w:val="2"/>
                <w:sz w:val="24"/>
                <w:szCs w:val="32"/>
                <w:vertAlign w:val="subscript"/>
                <w:lang w:val="en-US" w:eastAsia="zh-CN" w:bidi="ar-SA"/>
              </w:rPr>
              <w:t>2</w:t>
            </w:r>
            <w:r>
              <w:rPr>
                <w:rFonts w:hint="default" w:ascii="Times New Roman" w:hAnsi="Times New Roman" w:eastAsia="宋体" w:cs="Times New Roman"/>
                <w:color w:val="auto"/>
                <w:kern w:val="2"/>
                <w:sz w:val="24"/>
                <w:szCs w:val="32"/>
                <w:lang w:val="en-US" w:eastAsia="zh-CN" w:bidi="ar-SA"/>
              </w:rPr>
              <w:t>、PM</w:t>
            </w:r>
            <w:r>
              <w:rPr>
                <w:rFonts w:hint="default" w:ascii="Times New Roman" w:hAnsi="Times New Roman" w:eastAsia="宋体" w:cs="Times New Roman"/>
                <w:color w:val="auto"/>
                <w:kern w:val="2"/>
                <w:sz w:val="24"/>
                <w:szCs w:val="32"/>
                <w:vertAlign w:val="subscript"/>
                <w:lang w:val="en-US" w:eastAsia="zh-CN" w:bidi="ar-SA"/>
              </w:rPr>
              <w:t>10</w:t>
            </w:r>
            <w:r>
              <w:rPr>
                <w:rFonts w:hint="default" w:ascii="Times New Roman" w:hAnsi="Times New Roman" w:eastAsia="宋体" w:cs="Times New Roman"/>
                <w:color w:val="auto"/>
                <w:kern w:val="2"/>
                <w:sz w:val="24"/>
                <w:szCs w:val="32"/>
                <w:lang w:val="en-US" w:eastAsia="zh-CN" w:bidi="ar-SA"/>
              </w:rPr>
              <w:t>、PM</w:t>
            </w:r>
            <w:r>
              <w:rPr>
                <w:rFonts w:hint="default" w:ascii="Times New Roman" w:hAnsi="Times New Roman" w:eastAsia="宋体" w:cs="Times New Roman"/>
                <w:color w:val="auto"/>
                <w:kern w:val="2"/>
                <w:sz w:val="24"/>
                <w:szCs w:val="32"/>
                <w:vertAlign w:val="subscript"/>
                <w:lang w:val="en-US" w:eastAsia="zh-CN" w:bidi="ar-SA"/>
              </w:rPr>
              <w:t>2.5</w:t>
            </w:r>
            <w:r>
              <w:rPr>
                <w:rFonts w:hint="default" w:ascii="Times New Roman" w:hAnsi="Times New Roman" w:eastAsia="宋体" w:cs="Times New Roman"/>
                <w:color w:val="auto"/>
                <w:kern w:val="2"/>
                <w:sz w:val="24"/>
                <w:szCs w:val="32"/>
                <w:lang w:val="en-US" w:eastAsia="zh-CN" w:bidi="ar-SA"/>
              </w:rPr>
              <w:t>年均浓度分别为9ug/m</w:t>
            </w:r>
            <w:r>
              <w:rPr>
                <w:rFonts w:hint="default" w:ascii="Times New Roman" w:hAnsi="Times New Roman" w:eastAsia="宋体" w:cs="Times New Roman"/>
                <w:color w:val="auto"/>
                <w:kern w:val="2"/>
                <w:sz w:val="24"/>
                <w:szCs w:val="32"/>
                <w:vertAlign w:val="superscript"/>
                <w:lang w:val="en-US" w:eastAsia="zh-CN" w:bidi="ar-SA"/>
              </w:rPr>
              <w:t>3</w:t>
            </w:r>
            <w:r>
              <w:rPr>
                <w:rFonts w:hint="default" w:ascii="Times New Roman" w:hAnsi="Times New Roman" w:eastAsia="宋体" w:cs="Times New Roman"/>
                <w:color w:val="auto"/>
                <w:kern w:val="2"/>
                <w:sz w:val="24"/>
                <w:szCs w:val="32"/>
                <w:lang w:val="en-US" w:eastAsia="zh-CN" w:bidi="ar-SA"/>
              </w:rPr>
              <w:t>、21ug/m</w:t>
            </w:r>
            <w:r>
              <w:rPr>
                <w:rFonts w:hint="default" w:ascii="Times New Roman" w:hAnsi="Times New Roman" w:eastAsia="宋体" w:cs="Times New Roman"/>
                <w:color w:val="auto"/>
                <w:kern w:val="2"/>
                <w:sz w:val="24"/>
                <w:szCs w:val="32"/>
                <w:vertAlign w:val="superscript"/>
                <w:lang w:val="en-US" w:eastAsia="zh-CN" w:bidi="ar-SA"/>
              </w:rPr>
              <w:t>3</w:t>
            </w:r>
            <w:r>
              <w:rPr>
                <w:rFonts w:hint="default" w:ascii="Times New Roman" w:hAnsi="Times New Roman" w:eastAsia="宋体" w:cs="Times New Roman"/>
                <w:color w:val="auto"/>
                <w:kern w:val="2"/>
                <w:sz w:val="24"/>
                <w:szCs w:val="32"/>
                <w:lang w:val="en-US" w:eastAsia="zh-CN" w:bidi="ar-SA"/>
              </w:rPr>
              <w:t>、57ug/m</w:t>
            </w:r>
            <w:r>
              <w:rPr>
                <w:rFonts w:hint="default" w:ascii="Times New Roman" w:hAnsi="Times New Roman" w:eastAsia="宋体" w:cs="Times New Roman"/>
                <w:color w:val="auto"/>
                <w:kern w:val="2"/>
                <w:sz w:val="24"/>
                <w:szCs w:val="32"/>
                <w:vertAlign w:val="superscript"/>
                <w:lang w:val="en-US" w:eastAsia="zh-CN" w:bidi="ar-SA"/>
              </w:rPr>
              <w:t>3</w:t>
            </w:r>
            <w:r>
              <w:rPr>
                <w:rFonts w:hint="default" w:ascii="Times New Roman" w:hAnsi="Times New Roman" w:eastAsia="宋体" w:cs="Times New Roman"/>
                <w:color w:val="auto"/>
                <w:kern w:val="2"/>
                <w:sz w:val="24"/>
                <w:szCs w:val="32"/>
                <w:lang w:val="en-US" w:eastAsia="zh-CN" w:bidi="ar-SA"/>
              </w:rPr>
              <w:t>、31ug/m</w:t>
            </w:r>
            <w:r>
              <w:rPr>
                <w:rFonts w:hint="default" w:ascii="Times New Roman" w:hAnsi="Times New Roman" w:eastAsia="宋体" w:cs="Times New Roman"/>
                <w:color w:val="auto"/>
                <w:kern w:val="2"/>
                <w:sz w:val="24"/>
                <w:szCs w:val="32"/>
                <w:vertAlign w:val="superscript"/>
                <w:lang w:val="en-US" w:eastAsia="zh-CN" w:bidi="ar-SA"/>
              </w:rPr>
              <w:t>3</w:t>
            </w:r>
            <w:r>
              <w:rPr>
                <w:rFonts w:hint="default" w:ascii="Times New Roman" w:hAnsi="Times New Roman" w:eastAsia="宋体" w:cs="Times New Roman"/>
                <w:color w:val="auto"/>
                <w:kern w:val="2"/>
                <w:sz w:val="24"/>
                <w:szCs w:val="32"/>
                <w:lang w:val="en-US" w:eastAsia="zh-CN" w:bidi="ar-SA"/>
              </w:rPr>
              <w:t>；CO24小时平均第95百分位数为1.7mg/m</w:t>
            </w:r>
            <w:r>
              <w:rPr>
                <w:rFonts w:hint="default" w:ascii="Times New Roman" w:hAnsi="Times New Roman" w:eastAsia="宋体" w:cs="Times New Roman"/>
                <w:color w:val="auto"/>
                <w:kern w:val="2"/>
                <w:sz w:val="24"/>
                <w:szCs w:val="32"/>
                <w:vertAlign w:val="superscript"/>
                <w:lang w:val="en-US" w:eastAsia="zh-CN" w:bidi="ar-SA"/>
              </w:rPr>
              <w:t>3</w:t>
            </w:r>
            <w:r>
              <w:rPr>
                <w:rFonts w:hint="default" w:ascii="Times New Roman" w:hAnsi="Times New Roman" w:eastAsia="宋体" w:cs="Times New Roman"/>
                <w:color w:val="auto"/>
                <w:kern w:val="2"/>
                <w:sz w:val="24"/>
                <w:szCs w:val="32"/>
                <w:lang w:val="en-US" w:eastAsia="zh-CN" w:bidi="ar-SA"/>
              </w:rPr>
              <w:t>，O</w:t>
            </w:r>
            <w:r>
              <w:rPr>
                <w:rFonts w:hint="default" w:ascii="Times New Roman" w:hAnsi="Times New Roman" w:eastAsia="宋体" w:cs="Times New Roman"/>
                <w:color w:val="auto"/>
                <w:kern w:val="2"/>
                <w:sz w:val="24"/>
                <w:szCs w:val="32"/>
                <w:vertAlign w:val="subscript"/>
                <w:lang w:val="en-US" w:eastAsia="zh-CN" w:bidi="ar-SA"/>
              </w:rPr>
              <w:t>3</w:t>
            </w:r>
            <w:r>
              <w:rPr>
                <w:rFonts w:hint="default" w:ascii="Times New Roman" w:hAnsi="Times New Roman" w:eastAsia="宋体" w:cs="Times New Roman"/>
                <w:color w:val="auto"/>
                <w:kern w:val="2"/>
                <w:sz w:val="24"/>
                <w:szCs w:val="32"/>
                <w:lang w:val="en-US" w:eastAsia="zh-CN" w:bidi="ar-SA"/>
              </w:rPr>
              <w:t>日最大8小时平均第90百分位数为134ug/m</w:t>
            </w:r>
            <w:r>
              <w:rPr>
                <w:rFonts w:hint="default" w:ascii="Times New Roman" w:hAnsi="Times New Roman" w:eastAsia="宋体" w:cs="Times New Roman"/>
                <w:color w:val="auto"/>
                <w:kern w:val="2"/>
                <w:sz w:val="24"/>
                <w:szCs w:val="32"/>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w:t>
            </w:r>
            <w:r>
              <w:rPr>
                <w:rFonts w:hint="default" w:ascii="Times New Roman" w:hAnsi="Times New Roman" w:eastAsia="宋体" w:cs="Times New Roman"/>
                <w:color w:val="auto"/>
                <w:kern w:val="2"/>
                <w:sz w:val="24"/>
                <w:szCs w:val="32"/>
                <w:lang w:val="en-US" w:eastAsia="zh-CN" w:bidi="ar-SA"/>
              </w:rPr>
              <w:t>各污染物平均浓度均优于《环境空气质量标准》（GB3095-2012）中二级标准限值，具体</w:t>
            </w:r>
            <w:r>
              <w:rPr>
                <w:rFonts w:hint="default" w:ascii="Times New Roman" w:hAnsi="Times New Roman" w:eastAsia="宋体" w:cs="Times New Roman"/>
                <w:color w:val="auto"/>
                <w:kern w:val="0"/>
                <w:sz w:val="24"/>
                <w:szCs w:val="20"/>
                <w:lang w:val="en-US" w:eastAsia="zh-CN" w:bidi="ar-SA"/>
              </w:rPr>
              <w:t>临夏州环境空气质量指标见表3-1</w:t>
            </w:r>
            <w:r>
              <w:rPr>
                <w:rFonts w:hint="default" w:ascii="Times New Roman" w:hAnsi="Times New Roman" w:eastAsia="宋体" w:cs="Times New Roman"/>
                <w:color w:val="auto"/>
                <w:kern w:val="0"/>
                <w:sz w:val="24"/>
                <w:szCs w:val="24"/>
                <w:lang w:val="en-US" w:eastAsia="zh-CN" w:bidi="ar-SA"/>
              </w:rPr>
              <w:t>。</w:t>
            </w:r>
          </w:p>
          <w:p>
            <w:pPr>
              <w:keepNext w:val="0"/>
              <w:keepLines w:val="0"/>
              <w:pageBreakBefore w:val="0"/>
              <w:widowControl w:val="0"/>
              <w:kinsoku/>
              <w:wordWrap/>
              <w:overflowPunct/>
              <w:topLinePunct w:val="0"/>
              <w:autoSpaceDE/>
              <w:autoSpaceDN w:val="0"/>
              <w:bidi w:val="0"/>
              <w:adjustRightInd/>
              <w:snapToGrid/>
              <w:spacing w:line="360" w:lineRule="auto"/>
              <w:jc w:val="center"/>
              <w:textAlignment w:val="center"/>
              <w:rPr>
                <w:rFonts w:hint="default" w:ascii="Times New Roman" w:hAnsi="Times New Roman" w:eastAsia="宋体" w:cs="Times New Roman"/>
                <w:color w:val="auto"/>
                <w:kern w:val="0"/>
                <w:sz w:val="24"/>
                <w:szCs w:val="28"/>
                <w:lang w:val="en-US" w:eastAsia="zh-CN" w:bidi="ar-SA"/>
              </w:rPr>
            </w:pPr>
            <w:r>
              <w:rPr>
                <w:rFonts w:hint="default" w:ascii="Times New Roman" w:hAnsi="Times New Roman" w:eastAsia="宋体" w:cs="Times New Roman"/>
                <w:b/>
                <w:bCs/>
                <w:color w:val="auto"/>
                <w:kern w:val="0"/>
                <w:sz w:val="24"/>
                <w:szCs w:val="28"/>
                <w:lang w:val="en-US" w:eastAsia="zh-CN" w:bidi="ar-SA"/>
              </w:rPr>
              <w:t xml:space="preserve">表3-1  </w:t>
            </w:r>
            <w:r>
              <w:rPr>
                <w:rFonts w:hint="default" w:ascii="Times New Roman" w:hAnsi="Times New Roman" w:eastAsia="宋体" w:cs="Times New Roman"/>
                <w:b/>
                <w:color w:val="auto"/>
                <w:kern w:val="0"/>
                <w:sz w:val="24"/>
                <w:szCs w:val="28"/>
                <w:lang w:val="en-US" w:eastAsia="zh-CN" w:bidi="ar-SA"/>
              </w:rPr>
              <w:t>环境空气质量标准</w:t>
            </w:r>
          </w:p>
          <w:tbl>
            <w:tblPr>
              <w:tblStyle w:val="24"/>
              <w:tblW w:w="797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953"/>
              <w:gridCol w:w="1764"/>
              <w:gridCol w:w="1134"/>
              <w:gridCol w:w="1138"/>
              <w:gridCol w:w="1143"/>
              <w:gridCol w:w="11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9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年评价指标</w:t>
                  </w: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现状浓度</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占标率%</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7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60ug/m</w:t>
                  </w:r>
                  <w:r>
                    <w:rPr>
                      <w:rFonts w:hint="default" w:ascii="Times New Roman" w:hAnsi="Times New Roman" w:eastAsia="宋体" w:cs="Times New Roman"/>
                      <w:color w:val="auto"/>
                      <w:sz w:val="21"/>
                      <w:szCs w:val="21"/>
                      <w:vertAlign w:val="superscript"/>
                    </w:rPr>
                    <w:t>3</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7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21</w:t>
                  </w: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40ug/m</w:t>
                  </w:r>
                  <w:r>
                    <w:rPr>
                      <w:rFonts w:hint="default" w:ascii="Times New Roman" w:hAnsi="Times New Roman" w:eastAsia="宋体" w:cs="Times New Roman"/>
                      <w:color w:val="auto"/>
                      <w:sz w:val="21"/>
                      <w:szCs w:val="21"/>
                      <w:vertAlign w:val="superscript"/>
                    </w:rPr>
                    <w:t>3</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52.5</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7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57</w:t>
                  </w: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70ug/m</w:t>
                  </w:r>
                  <w:r>
                    <w:rPr>
                      <w:rFonts w:hint="default" w:ascii="Times New Roman" w:hAnsi="Times New Roman" w:eastAsia="宋体" w:cs="Times New Roman"/>
                      <w:color w:val="auto"/>
                      <w:sz w:val="21"/>
                      <w:szCs w:val="21"/>
                      <w:vertAlign w:val="superscript"/>
                    </w:rPr>
                    <w:t>3</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81.4</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9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7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w:t>
                  </w: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35ug/m</w:t>
                  </w:r>
                  <w:r>
                    <w:rPr>
                      <w:rFonts w:hint="default" w:ascii="Times New Roman" w:hAnsi="Times New Roman" w:eastAsia="宋体" w:cs="Times New Roman"/>
                      <w:color w:val="auto"/>
                      <w:sz w:val="21"/>
                      <w:szCs w:val="21"/>
                      <w:vertAlign w:val="superscript"/>
                    </w:rPr>
                    <w:t>3</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88.6</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最大8h滑动平均第90百分位数</w:t>
                  </w: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134</w:t>
                  </w: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160ug/m</w:t>
                  </w:r>
                  <w:r>
                    <w:rPr>
                      <w:rFonts w:hint="default" w:ascii="Times New Roman" w:hAnsi="Times New Roman" w:eastAsia="宋体" w:cs="Times New Roman"/>
                      <w:color w:val="auto"/>
                      <w:sz w:val="21"/>
                      <w:szCs w:val="21"/>
                      <w:vertAlign w:val="superscript"/>
                    </w:rPr>
                    <w:t>3</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83.7</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9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24小时平均第95百分位数</w:t>
                  </w: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1.7</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4mg/m</w:t>
                  </w:r>
                  <w:r>
                    <w:rPr>
                      <w:rFonts w:hint="default" w:ascii="Times New Roman" w:hAnsi="Times New Roman" w:eastAsia="宋体" w:cs="Times New Roman"/>
                      <w:color w:val="auto"/>
                      <w:sz w:val="21"/>
                      <w:szCs w:val="21"/>
                      <w:vertAlign w:val="superscript"/>
                    </w:rPr>
                    <w:t>3</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42.5</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达标</w:t>
                  </w:r>
                </w:p>
              </w:tc>
            </w:tr>
          </w:tbl>
          <w:p>
            <w:pPr>
              <w:spacing w:line="360" w:lineRule="auto"/>
              <w:ind w:firstLine="480" w:firstLineChars="200"/>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综上分析，各污染物平均浓度均优于《环境空气质量标准》（GB3095-2012）中二级标准限值，</w:t>
            </w:r>
            <w:r>
              <w:rPr>
                <w:rFonts w:hint="default" w:ascii="Times New Roman" w:hAnsi="Times New Roman" w:eastAsia="宋体" w:cs="Times New Roman"/>
                <w:color w:val="auto"/>
                <w:sz w:val="24"/>
                <w:lang w:val="en-US" w:eastAsia="zh-CN"/>
              </w:rPr>
              <w:t>临夏州</w:t>
            </w:r>
            <w:r>
              <w:rPr>
                <w:rFonts w:hint="default" w:ascii="Times New Roman" w:hAnsi="Times New Roman" w:eastAsia="宋体" w:cs="Times New Roman"/>
                <w:color w:val="auto"/>
                <w:sz w:val="24"/>
              </w:rPr>
              <w:t>202</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年6项污染物年均浓度均符合《环境空气质量标准》（GB3095-2012）二级标准，项目所在区域为达标区。</w:t>
            </w:r>
          </w:p>
          <w:p>
            <w:pPr>
              <w:autoSpaceDE w:val="0"/>
              <w:autoSpaceDN w:val="0"/>
              <w:adjustRightInd w:val="0"/>
              <w:snapToGrid w:val="0"/>
              <w:spacing w:line="360" w:lineRule="auto"/>
              <w:ind w:firstLine="482" w:firstLineChars="200"/>
              <w:contextualSpacing/>
              <w:rPr>
                <w:rFonts w:ascii="Times New Roman" w:hAnsi="Times New Roman" w:eastAsia="宋体" w:cs="Times New Roman"/>
                <w:b/>
                <w:color w:val="auto"/>
                <w:sz w:val="24"/>
              </w:rPr>
            </w:pPr>
            <w:r>
              <w:rPr>
                <w:rFonts w:ascii="Times New Roman" w:hAnsi="Times New Roman" w:eastAsia="宋体" w:cs="Times New Roman"/>
                <w:b/>
                <w:color w:val="auto"/>
                <w:sz w:val="24"/>
              </w:rPr>
              <w:t>1.2特征因子质量现状监测与评价</w:t>
            </w:r>
          </w:p>
          <w:bookmarkEnd w:id="2"/>
          <w:p>
            <w:pPr>
              <w:spacing w:line="360" w:lineRule="auto"/>
              <w:ind w:firstLine="48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highlight w:val="none"/>
              </w:rPr>
              <w:t>为了解项目特征污染物颗粒物</w:t>
            </w:r>
            <w:r>
              <w:rPr>
                <w:rFonts w:hint="eastAsia" w:ascii="Times New Roman" w:hAnsi="Times New Roman" w:eastAsia="宋体" w:cs="Times New Roman"/>
                <w:color w:val="auto"/>
                <w:sz w:val="24"/>
                <w:szCs w:val="24"/>
                <w:highlight w:val="none"/>
                <w:lang w:val="en-US" w:eastAsia="zh-CN"/>
              </w:rPr>
              <w:t>环境空气</w:t>
            </w:r>
            <w:r>
              <w:rPr>
                <w:rFonts w:hint="default" w:ascii="Times New Roman" w:hAnsi="Times New Roman" w:eastAsia="宋体" w:cs="Times New Roman"/>
                <w:color w:val="auto"/>
                <w:sz w:val="24"/>
                <w:szCs w:val="24"/>
                <w:highlight w:val="none"/>
              </w:rPr>
              <w:t>质量现状，</w:t>
            </w:r>
            <w:r>
              <w:rPr>
                <w:rFonts w:hint="eastAsia" w:ascii="Times New Roman" w:hAnsi="Times New Roman" w:eastAsia="宋体" w:cs="Times New Roman"/>
                <w:color w:val="auto"/>
                <w:sz w:val="24"/>
                <w:szCs w:val="24"/>
                <w:highlight w:val="none"/>
                <w:lang w:val="en-US" w:eastAsia="zh-CN"/>
              </w:rPr>
              <w:t>本次评价</w:t>
            </w:r>
            <w:r>
              <w:rPr>
                <w:rFonts w:hint="default" w:ascii="Times New Roman" w:hAnsi="Times New Roman" w:eastAsia="宋体" w:cs="Times New Roman"/>
                <w:color w:val="auto"/>
                <w:sz w:val="24"/>
                <w:lang w:eastAsia="zh-CN"/>
              </w:rPr>
              <w:t>引用《和政循环经济产业园发展规划（2022-2035年）环境影响报告书》</w:t>
            </w:r>
            <w:r>
              <w:rPr>
                <w:rFonts w:hint="eastAsia" w:ascii="Times New Roman" w:hAnsi="Times New Roman" w:eastAsia="宋体" w:cs="Times New Roman"/>
                <w:color w:val="auto"/>
                <w:sz w:val="24"/>
                <w:lang w:val="en-US" w:eastAsia="zh-CN"/>
              </w:rPr>
              <w:t>中TSP监测数据进行评价</w:t>
            </w:r>
            <w:r>
              <w:rPr>
                <w:rFonts w:hint="eastAsia" w:cs="Times New Roman"/>
                <w:color w:val="auto"/>
                <w:sz w:val="24"/>
                <w:lang w:val="en-US" w:eastAsia="zh-CN"/>
              </w:rPr>
              <w:t>，引用的检测报告见附件9</w:t>
            </w:r>
            <w:r>
              <w:rPr>
                <w:rFonts w:hint="eastAsia" w:ascii="Times New Roman" w:hAnsi="Times New Roman" w:eastAsia="宋体" w:cs="Times New Roman"/>
                <w:color w:val="auto"/>
                <w:sz w:val="24"/>
                <w:lang w:val="en-US" w:eastAsia="zh-CN"/>
              </w:rPr>
              <w:t>。</w:t>
            </w:r>
          </w:p>
          <w:p>
            <w:pPr>
              <w:spacing w:line="360" w:lineRule="auto"/>
              <w:ind w:firstLine="48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监测时间</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2022年4月12日-18日</w:t>
            </w:r>
            <w:r>
              <w:rPr>
                <w:rFonts w:hint="eastAsia" w:ascii="Times New Roman" w:hAnsi="Times New Roman" w:eastAsia="宋体" w:cs="Times New Roman"/>
                <w:color w:val="auto"/>
                <w:sz w:val="24"/>
                <w:lang w:eastAsia="zh-CN"/>
              </w:rPr>
              <w:t>；</w:t>
            </w:r>
          </w:p>
          <w:p>
            <w:pPr>
              <w:spacing w:line="360" w:lineRule="auto"/>
              <w:ind w:firstLine="480"/>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监测点位：杜家崖村</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bCs/>
                <w:color w:val="auto"/>
                <w:sz w:val="24"/>
                <w:szCs w:val="24"/>
                <w:highlight w:val="none"/>
              </w:rPr>
              <w:t>E</w:t>
            </w:r>
            <w:r>
              <w:rPr>
                <w:rFonts w:hint="eastAsia" w:ascii="Times New Roman" w:hAnsi="Times New Roman" w:eastAsia="宋体" w:cs="Times New Roman"/>
                <w:color w:val="auto"/>
                <w:sz w:val="24"/>
                <w:szCs w:val="24"/>
                <w:lang w:val="en-US" w:eastAsia="zh-CN"/>
              </w:rPr>
              <w:t>103.366884851，</w:t>
            </w:r>
            <w:r>
              <w:rPr>
                <w:rFonts w:hint="default" w:ascii="Times New Roman" w:hAnsi="Times New Roman" w:eastAsia="宋体" w:cs="Times New Roman"/>
                <w:bCs/>
                <w:color w:val="auto"/>
                <w:sz w:val="24"/>
                <w:szCs w:val="24"/>
                <w:highlight w:val="none"/>
              </w:rPr>
              <w:t>N</w:t>
            </w:r>
            <w:r>
              <w:rPr>
                <w:rFonts w:hint="eastAsia" w:ascii="Times New Roman" w:hAnsi="Times New Roman" w:eastAsia="宋体" w:cs="Times New Roman"/>
                <w:color w:val="auto"/>
                <w:sz w:val="24"/>
                <w:szCs w:val="24"/>
                <w:lang w:val="en-US" w:eastAsia="zh-CN"/>
              </w:rPr>
              <w:t>35.416500282</w:t>
            </w:r>
            <w:r>
              <w:rPr>
                <w:rFonts w:hint="eastAsia" w:ascii="Times New Roman" w:hAnsi="Times New Roman" w:eastAsia="宋体" w:cs="Times New Roman"/>
                <w:color w:val="auto"/>
                <w:sz w:val="24"/>
                <w:lang w:val="en-US" w:eastAsia="zh-CN"/>
              </w:rPr>
              <w:t>），距离项目</w:t>
            </w:r>
            <w:r>
              <w:rPr>
                <w:rFonts w:hint="eastAsia" w:cs="Times New Roman"/>
                <w:color w:val="auto"/>
                <w:sz w:val="24"/>
                <w:lang w:val="en-US" w:eastAsia="zh-CN"/>
              </w:rPr>
              <w:t>厂界</w:t>
            </w:r>
            <w:r>
              <w:rPr>
                <w:rFonts w:hint="eastAsia" w:ascii="Times New Roman" w:hAnsi="Times New Roman" w:eastAsia="宋体" w:cs="Times New Roman"/>
                <w:color w:val="auto"/>
                <w:sz w:val="24"/>
                <w:lang w:val="en-US" w:eastAsia="zh-CN"/>
              </w:rPr>
              <w:t>约0.36km</w:t>
            </w:r>
            <w:r>
              <w:rPr>
                <w:rFonts w:hint="default" w:ascii="Times New Roman" w:hAnsi="Times New Roman" w:eastAsia="宋体" w:cs="Times New Roman"/>
                <w:color w:val="auto"/>
                <w:sz w:val="24"/>
                <w:lang w:eastAsia="zh-CN"/>
              </w:rPr>
              <w:t>。</w:t>
            </w:r>
          </w:p>
          <w:p>
            <w:pPr>
              <w:spacing w:line="360" w:lineRule="auto"/>
              <w:jc w:val="center"/>
              <w:rPr>
                <w:color w:val="auto"/>
              </w:rPr>
            </w:pPr>
            <w:r>
              <w:rPr>
                <w:color w:val="auto"/>
              </w:rPr>
              <w:drawing>
                <wp:anchor distT="0" distB="0" distL="114300" distR="114300" simplePos="0" relativeHeight="251662336" behindDoc="0" locked="0" layoutInCell="1" allowOverlap="1">
                  <wp:simplePos x="0" y="0"/>
                  <wp:positionH relativeFrom="column">
                    <wp:posOffset>1348740</wp:posOffset>
                  </wp:positionH>
                  <wp:positionV relativeFrom="paragraph">
                    <wp:posOffset>2612390</wp:posOffset>
                  </wp:positionV>
                  <wp:extent cx="361950" cy="342900"/>
                  <wp:effectExtent l="0" t="0" r="0" b="0"/>
                  <wp:wrapNone/>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6">
                            <a:clrChange>
                              <a:clrFrom>
                                <a:srgbClr val="E5F1FB">
                                  <a:alpha val="100000"/>
                                </a:srgbClr>
                              </a:clrFrom>
                              <a:clrTo>
                                <a:srgbClr val="E5F1FB">
                                  <a:alpha val="100000"/>
                                  <a:alpha val="0"/>
                                </a:srgbClr>
                              </a:clrTo>
                            </a:clrChange>
                          </a:blip>
                          <a:stretch>
                            <a:fillRect/>
                          </a:stretch>
                        </pic:blipFill>
                        <pic:spPr>
                          <a:xfrm>
                            <a:off x="0" y="0"/>
                            <a:ext cx="361950" cy="342900"/>
                          </a:xfrm>
                          <a:prstGeom prst="rect">
                            <a:avLst/>
                          </a:prstGeom>
                          <a:noFill/>
                          <a:ln>
                            <a:noFill/>
                          </a:ln>
                        </pic:spPr>
                      </pic:pic>
                    </a:graphicData>
                  </a:graphic>
                </wp:anchor>
              </w:drawing>
            </w: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1282700</wp:posOffset>
                      </wp:positionH>
                      <wp:positionV relativeFrom="paragraph">
                        <wp:posOffset>2442845</wp:posOffset>
                      </wp:positionV>
                      <wp:extent cx="476250" cy="142875"/>
                      <wp:effectExtent l="13970" t="14605" r="24130" b="13970"/>
                      <wp:wrapNone/>
                      <wp:docPr id="14" name="矩形 14"/>
                      <wp:cNvGraphicFramePr/>
                      <a:graphic xmlns:a="http://schemas.openxmlformats.org/drawingml/2006/main">
                        <a:graphicData uri="http://schemas.microsoft.com/office/word/2010/wordprocessingShape">
                          <wps:wsp>
                            <wps:cNvSpPr/>
                            <wps:spPr>
                              <a:xfrm>
                                <a:off x="2689860" y="3992880"/>
                                <a:ext cx="476250" cy="14287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pt;margin-top:192.35pt;height:11.25pt;width:37.5pt;z-index:251661312;v-text-anchor:middle;mso-width-relative:page;mso-height-relative:page;" filled="f" stroked="t" coordsize="21600,21600" o:gfxdata="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d22YT2gAAAAsBAAAPAAAAAAAAAAEAIAAAACIAAABkcnMvZG93bnJldi54bWxQSwECFAAUAAAA&#10;CACHTuJAs9Gd6V4CAACKBAAADgAAAAAAAAABACAAAAApAQAAZHJzL2Uyb0RvYy54bWxQSwUGAAAA&#10;AAYABgBZAQAA+QUAAAAA&#10;">
                      <v:fill on="f" focussize="0,0"/>
                      <v:stroke weight="2.25pt" color="#00B050 [3204]"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92075</wp:posOffset>
                      </wp:positionH>
                      <wp:positionV relativeFrom="paragraph">
                        <wp:posOffset>2176145</wp:posOffset>
                      </wp:positionV>
                      <wp:extent cx="1743075" cy="847725"/>
                      <wp:effectExtent l="4445" t="4445" r="5080" b="5080"/>
                      <wp:wrapNone/>
                      <wp:docPr id="13" name="文本框 13"/>
                      <wp:cNvGraphicFramePr/>
                      <a:graphic xmlns:a="http://schemas.openxmlformats.org/drawingml/2006/main">
                        <a:graphicData uri="http://schemas.microsoft.com/office/word/2010/wordprocessingShape">
                          <wps:wsp>
                            <wps:cNvSpPr txBox="1"/>
                            <wps:spPr>
                              <a:xfrm>
                                <a:off x="1623060" y="3697605"/>
                                <a:ext cx="1743075" cy="847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lang w:val="en-US" w:eastAsia="zh-CN"/>
                                    </w:rPr>
                                  </w:pPr>
                                  <w:r>
                                    <w:rPr>
                                      <w:rFonts w:hint="eastAsia"/>
                                      <w:lang w:val="en-US" w:eastAsia="zh-CN"/>
                                    </w:rPr>
                                    <w:t>图例</w:t>
                                  </w:r>
                                </w:p>
                                <w:p>
                                  <w:pPr>
                                    <w:pStyle w:val="11"/>
                                    <w:spacing w:line="240" w:lineRule="auto"/>
                                    <w:ind w:left="0" w:leftChars="0" w:firstLine="0" w:firstLineChars="0"/>
                                    <w:rPr>
                                      <w:rFonts w:hint="eastAsia"/>
                                      <w:lang w:val="en-US" w:eastAsia="zh-CN"/>
                                    </w:rPr>
                                  </w:pPr>
                                  <w:r>
                                    <w:rPr>
                                      <w:rFonts w:hint="eastAsia"/>
                                      <w:lang w:val="en-US" w:eastAsia="zh-CN"/>
                                    </w:rPr>
                                    <w:t>厂区范围</w:t>
                                  </w:r>
                                </w:p>
                                <w:p>
                                  <w:pPr>
                                    <w:spacing w:line="240" w:lineRule="auto"/>
                                    <w:rPr>
                                      <w:rFonts w:hint="default"/>
                                      <w:lang w:val="en-US" w:eastAsia="zh-CN"/>
                                    </w:rPr>
                                  </w:pPr>
                                  <w:r>
                                    <w:rPr>
                                      <w:rFonts w:hint="eastAsia"/>
                                      <w:lang w:val="en-US" w:eastAsia="zh-CN"/>
                                    </w:rPr>
                                    <w:t>引用监测点位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5pt;margin-top:171.35pt;height:66.75pt;width:137.25pt;z-index:251660288;mso-width-relative:page;mso-height-relative:page;" fillcolor="#FFFFFF [3201]" filled="t" stroked="t" coordsize="21600,21600" o:gfxdata="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UiP2/XAAAACgEAAA8AAAAAAAAA&#10;AQAgAAAAIgAAAGRycy9kb3ducmV2LnhtbFBLAQIUABQAAAAIAIdO4kAHpeuCSwIAAHcEAAAOAAAA&#10;AAAAAAEAIAAAACYBAABkcnMvZTJvRG9jLnhtbFBLBQYAAAAABgAGAFkBAADjBQAAAAA=&#10;">
                      <v:fill on="t" focussize="0,0"/>
                      <v:stroke weight="0.5pt" color="#000000 [3204]" joinstyle="round"/>
                      <v:imagedata o:title=""/>
                      <o:lock v:ext="edit" aspectratio="f"/>
                      <v:textbox>
                        <w:txbxContent>
                          <w:p>
                            <w:pPr>
                              <w:spacing w:line="240" w:lineRule="auto"/>
                              <w:jc w:val="center"/>
                              <w:rPr>
                                <w:rFonts w:hint="eastAsia"/>
                                <w:lang w:val="en-US" w:eastAsia="zh-CN"/>
                              </w:rPr>
                            </w:pPr>
                            <w:r>
                              <w:rPr>
                                <w:rFonts w:hint="eastAsia"/>
                                <w:lang w:val="en-US" w:eastAsia="zh-CN"/>
                              </w:rPr>
                              <w:t>图例</w:t>
                            </w:r>
                          </w:p>
                          <w:p>
                            <w:pPr>
                              <w:pStyle w:val="11"/>
                              <w:spacing w:line="240" w:lineRule="auto"/>
                              <w:ind w:left="0" w:leftChars="0" w:firstLine="0" w:firstLineChars="0"/>
                              <w:rPr>
                                <w:rFonts w:hint="eastAsia"/>
                                <w:lang w:val="en-US" w:eastAsia="zh-CN"/>
                              </w:rPr>
                            </w:pPr>
                            <w:r>
                              <w:rPr>
                                <w:rFonts w:hint="eastAsia"/>
                                <w:lang w:val="en-US" w:eastAsia="zh-CN"/>
                              </w:rPr>
                              <w:t>厂区范围</w:t>
                            </w:r>
                          </w:p>
                          <w:p>
                            <w:pPr>
                              <w:spacing w:line="240" w:lineRule="auto"/>
                              <w:rPr>
                                <w:rFonts w:hint="default"/>
                                <w:lang w:val="en-US" w:eastAsia="zh-CN"/>
                              </w:rPr>
                            </w:pPr>
                            <w:r>
                              <w:rPr>
                                <w:rFonts w:hint="eastAsia"/>
                                <w:lang w:val="en-US" w:eastAsia="zh-CN"/>
                              </w:rPr>
                              <w:t>引用监测点位</w:t>
                            </w:r>
                          </w:p>
                        </w:txbxContent>
                      </v:textbox>
                    </v:shape>
                  </w:pict>
                </mc:Fallback>
              </mc:AlternateContent>
            </w: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1092200</wp:posOffset>
                      </wp:positionH>
                      <wp:positionV relativeFrom="paragraph">
                        <wp:posOffset>1128395</wp:posOffset>
                      </wp:positionV>
                      <wp:extent cx="695325" cy="323215"/>
                      <wp:effectExtent l="0" t="0" r="0" b="0"/>
                      <wp:wrapNone/>
                      <wp:docPr id="12" name="文本框 12"/>
                      <wp:cNvGraphicFramePr/>
                      <a:graphic xmlns:a="http://schemas.openxmlformats.org/drawingml/2006/main">
                        <a:graphicData uri="http://schemas.microsoft.com/office/word/2010/wordprocessingShape">
                          <wps:wsp>
                            <wps:cNvSpPr txBox="1"/>
                            <wps:spPr>
                              <a:xfrm>
                                <a:off x="3347085" y="2649855"/>
                                <a:ext cx="695325"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0.36km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88.85pt;height:25.45pt;width:54.75pt;z-index:251659264;mso-width-relative:page;mso-height-relative:page;" filled="f" stroked="f" coordsize="21600,21600" o:gfxdata="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fNWcNoAAAALAQAADwAAAAAAAAABACAAAAAiAAAAZHJzL2Rvd25yZXYueG1sUEsB&#10;AhQAFAAAAAgAh07iQBbosTwsAgAAJQQAAA4AAAAAAAAAAQAgAAAAKQEAAGRycy9lMm9Eb2MueG1s&#10;UEsFBgAAAAAGAAYAWQEAAMcFA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0.36km</w:t>
                            </w:r>
                          </w:p>
                        </w:txbxContent>
                      </v:textbox>
                    </v:shape>
                  </w:pict>
                </mc:Fallback>
              </mc:AlternateContent>
            </w:r>
            <w:r>
              <w:rPr>
                <w:color w:val="auto"/>
                <w:sz w:val="24"/>
              </w:rPr>
              <mc:AlternateContent>
                <mc:Choice Requires="wps">
                  <w:drawing>
                    <wp:anchor distT="0" distB="0" distL="114300" distR="114300" simplePos="0" relativeHeight="251658240" behindDoc="0" locked="0" layoutInCell="1" allowOverlap="1">
                      <wp:simplePos x="0" y="0"/>
                      <wp:positionH relativeFrom="column">
                        <wp:posOffset>968375</wp:posOffset>
                      </wp:positionH>
                      <wp:positionV relativeFrom="paragraph">
                        <wp:posOffset>953135</wp:posOffset>
                      </wp:positionV>
                      <wp:extent cx="219075" cy="685800"/>
                      <wp:effectExtent l="20955" t="0" r="26670" b="0"/>
                      <wp:wrapNone/>
                      <wp:docPr id="11" name="直接箭头连接符 11"/>
                      <wp:cNvGraphicFramePr/>
                      <a:graphic xmlns:a="http://schemas.openxmlformats.org/drawingml/2006/main">
                        <a:graphicData uri="http://schemas.microsoft.com/office/word/2010/wordprocessingShape">
                          <wps:wsp>
                            <wps:cNvCnPr/>
                            <wps:spPr>
                              <a:xfrm flipH="1">
                                <a:off x="2451735" y="2474595"/>
                                <a:ext cx="219075" cy="68580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6.25pt;margin-top:75.05pt;height:54pt;width:17.25pt;z-index:251658240;mso-width-relative:page;mso-height-relative:page;" filled="f" stroked="t" coordsize="21600,21600" o:gfxdata="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iZ9ELWAAAACwEAAA8AAAAAAAAAAQAgAAAAIgAA&#10;AGRycy9kb3ducmV2LnhtbFBLAQIUABQAAAAIAIdO4kAhRvC3CgIAAMUDAAAOAAAAAAAAAAEAIAAA&#10;ACUBAABkcnMvZTJvRG9jLnhtbFBLBQYAAAAABgAGAFkBAAChBQAAAAA=&#10;">
                      <v:fill on="f" focussize="0,0"/>
                      <v:stroke weight="0.5pt" color="#FF0000 [3204]" miterlimit="8" joinstyle="miter" startarrow="open" endarrow="open"/>
                      <v:imagedata o:title=""/>
                      <o:lock v:ext="edit" aspectratio="f"/>
                    </v:shape>
                  </w:pict>
                </mc:Fallback>
              </mc:AlternateContent>
            </w:r>
            <w:r>
              <w:rPr>
                <w:color w:val="auto"/>
              </w:rPr>
              <w:drawing>
                <wp:inline distT="0" distB="0" distL="114300" distR="114300">
                  <wp:extent cx="4928870" cy="2981960"/>
                  <wp:effectExtent l="9525" t="9525" r="14605" b="1841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7"/>
                          <a:stretch>
                            <a:fillRect/>
                          </a:stretch>
                        </pic:blipFill>
                        <pic:spPr>
                          <a:xfrm>
                            <a:off x="0" y="0"/>
                            <a:ext cx="4928870" cy="2981960"/>
                          </a:xfrm>
                          <a:prstGeom prst="rect">
                            <a:avLst/>
                          </a:prstGeom>
                          <a:noFill/>
                          <a:ln>
                            <a:solidFill>
                              <a:schemeClr val="tx1"/>
                            </a:solidFill>
                          </a:ln>
                        </pic:spPr>
                      </pic:pic>
                    </a:graphicData>
                  </a:graphic>
                </wp:inline>
              </w:drawing>
            </w:r>
          </w:p>
          <w:p>
            <w:pPr>
              <w:pStyle w:val="11"/>
              <w:ind w:left="0" w:leftChars="0" w:firstLine="0" w:firstLineChars="0"/>
              <w:jc w:val="center"/>
              <w:rPr>
                <w:rFonts w:hint="default" w:eastAsia="宋体"/>
                <w:b/>
                <w:bCs/>
                <w:color w:val="auto"/>
                <w:highlight w:val="none"/>
                <w:lang w:val="en-US" w:eastAsia="zh-CN"/>
              </w:rPr>
            </w:pPr>
            <w:r>
              <w:rPr>
                <w:rFonts w:hint="eastAsia"/>
                <w:b/>
                <w:bCs/>
                <w:color w:val="auto"/>
                <w:highlight w:val="none"/>
                <w:lang w:val="en-US" w:eastAsia="zh-CN"/>
              </w:rPr>
              <w:t>图2-1  引用检测点位与本项目位置关系图</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本次评价引用监测数据符合《</w:t>
            </w:r>
            <w:r>
              <w:rPr>
                <w:rFonts w:hint="default" w:ascii="Times New Roman" w:hAnsi="Times New Roman" w:eastAsia="宋体" w:cs="Times New Roman"/>
                <w:color w:val="auto"/>
                <w:sz w:val="24"/>
                <w:lang w:eastAsia="zh-CN"/>
              </w:rPr>
              <w:t>建设项目环境影响报告表编制技术指南（污染影响）</w:t>
            </w:r>
            <w:r>
              <w:rPr>
                <w:rFonts w:hint="eastAsia" w:ascii="Times New Roman" w:hAnsi="Times New Roman" w:eastAsia="宋体" w:cs="Times New Roman"/>
                <w:color w:val="auto"/>
                <w:sz w:val="24"/>
                <w:lang w:val="en-US" w:eastAsia="zh-CN"/>
              </w:rPr>
              <w:t>》中可以</w:t>
            </w:r>
            <w:r>
              <w:rPr>
                <w:rFonts w:hint="default" w:ascii="Times New Roman" w:hAnsi="Times New Roman" w:eastAsia="宋体" w:cs="Times New Roman"/>
                <w:color w:val="auto"/>
                <w:sz w:val="24"/>
                <w:lang w:eastAsia="zh-CN"/>
              </w:rPr>
              <w:t>引用建设项目周边5千米范围内近3年的现有监测数据</w:t>
            </w:r>
            <w:r>
              <w:rPr>
                <w:rFonts w:hint="eastAsia" w:ascii="Times New Roman" w:hAnsi="Times New Roman" w:eastAsia="宋体" w:cs="Times New Roman"/>
                <w:color w:val="auto"/>
                <w:sz w:val="24"/>
                <w:lang w:val="en-US" w:eastAsia="zh-CN"/>
              </w:rPr>
              <w:t>要求</w:t>
            </w:r>
            <w:r>
              <w:rPr>
                <w:rFonts w:hint="default" w:ascii="Times New Roman" w:hAnsi="Times New Roman" w:eastAsia="宋体" w:cs="Times New Roman"/>
                <w:color w:val="auto"/>
                <w:sz w:val="24"/>
                <w:lang w:eastAsia="zh-CN"/>
              </w:rPr>
              <w:t>，</w:t>
            </w:r>
            <w:r>
              <w:rPr>
                <w:rFonts w:hint="eastAsia" w:cs="Times New Roman"/>
                <w:color w:val="auto"/>
                <w:sz w:val="24"/>
                <w:lang w:val="en-US" w:eastAsia="zh-CN"/>
              </w:rPr>
              <w:t>项目引用的监测点位距离项目厂界约0.36km，</w:t>
            </w:r>
            <w:r>
              <w:rPr>
                <w:rFonts w:hint="eastAsia" w:ascii="Times New Roman" w:hAnsi="Times New Roman" w:eastAsia="宋体" w:cs="Times New Roman"/>
                <w:color w:val="auto"/>
                <w:sz w:val="24"/>
                <w:lang w:val="en-US" w:eastAsia="zh-CN"/>
              </w:rPr>
              <w:t>引用监测数据</w:t>
            </w:r>
            <w:r>
              <w:rPr>
                <w:rFonts w:hint="eastAsia" w:cs="Times New Roman"/>
                <w:color w:val="auto"/>
                <w:sz w:val="24"/>
                <w:lang w:val="en-US" w:eastAsia="zh-CN"/>
              </w:rPr>
              <w:t>可行</w:t>
            </w:r>
            <w:r>
              <w:rPr>
                <w:rFonts w:hint="eastAsia" w:ascii="Times New Roman" w:hAnsi="Times New Roman" w:eastAsia="宋体" w:cs="Times New Roman"/>
                <w:color w:val="auto"/>
                <w:sz w:val="24"/>
                <w:lang w:val="en-US" w:eastAsia="zh-CN"/>
              </w:rPr>
              <w:t>。监测数据见下表。</w:t>
            </w:r>
          </w:p>
          <w:p>
            <w:pPr>
              <w:spacing w:beforeLines="0" w:afterLines="0" w:line="360" w:lineRule="auto"/>
              <w:jc w:val="center"/>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表3-</w:t>
            </w:r>
            <w:r>
              <w:rPr>
                <w:rFonts w:hint="eastAsia"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val="en-US" w:eastAsia="zh-CN"/>
              </w:rPr>
              <w:t xml:space="preserve">    </w:t>
            </w:r>
            <w:r>
              <w:rPr>
                <w:rFonts w:hint="eastAsia" w:ascii="Times New Roman" w:hAnsi="Times New Roman" w:eastAsia="宋体" w:cs="Times New Roman"/>
                <w:b/>
                <w:bCs w:val="0"/>
                <w:color w:val="auto"/>
                <w:sz w:val="24"/>
                <w:szCs w:val="24"/>
                <w:highlight w:val="none"/>
                <w:lang w:val="en-US" w:eastAsia="zh-CN"/>
              </w:rPr>
              <w:t>TSP</w:t>
            </w:r>
            <w:r>
              <w:rPr>
                <w:rFonts w:hint="default" w:ascii="Times New Roman" w:hAnsi="Times New Roman" w:eastAsia="宋体" w:cs="Times New Roman"/>
                <w:b/>
                <w:bCs w:val="0"/>
                <w:color w:val="auto"/>
                <w:sz w:val="24"/>
                <w:szCs w:val="24"/>
                <w:highlight w:val="none"/>
                <w:lang w:val="en-US" w:eastAsia="zh-CN"/>
              </w:rPr>
              <w:t>环境空气监测</w:t>
            </w:r>
            <w:r>
              <w:rPr>
                <w:rFonts w:hint="eastAsia" w:ascii="Times New Roman" w:hAnsi="Times New Roman" w:eastAsia="宋体" w:cs="Times New Roman"/>
                <w:b/>
                <w:bCs w:val="0"/>
                <w:color w:val="auto"/>
                <w:sz w:val="24"/>
                <w:szCs w:val="24"/>
                <w:highlight w:val="none"/>
                <w:lang w:val="en-US" w:eastAsia="zh-CN"/>
              </w:rPr>
              <w:t>数据</w:t>
            </w:r>
            <w:r>
              <w:rPr>
                <w:rFonts w:hint="default" w:ascii="Times New Roman" w:hAnsi="Times New Roman" w:eastAsia="宋体" w:cs="Times New Roman"/>
                <w:b/>
                <w:bCs w:val="0"/>
                <w:color w:val="auto"/>
                <w:sz w:val="24"/>
                <w:szCs w:val="24"/>
                <w:highlight w:val="none"/>
                <w:lang w:val="en-US" w:eastAsia="zh-CN"/>
              </w:rPr>
              <w:t xml:space="preserve">    单位：mg/m</w:t>
            </w:r>
            <w:r>
              <w:rPr>
                <w:rFonts w:hint="default" w:ascii="Times New Roman" w:hAnsi="Times New Roman" w:eastAsia="宋体" w:cs="Times New Roman"/>
                <w:b/>
                <w:bCs w:val="0"/>
                <w:color w:val="auto"/>
                <w:sz w:val="24"/>
                <w:szCs w:val="24"/>
                <w:highlight w:val="none"/>
                <w:vertAlign w:val="superscript"/>
                <w:lang w:val="en-US" w:eastAsia="zh-CN"/>
              </w:rPr>
              <w:t>3</w:t>
            </w:r>
          </w:p>
          <w:tbl>
            <w:tblPr>
              <w:tblStyle w:val="24"/>
              <w:tblW w:w="8030" w:type="dxa"/>
              <w:jc w:val="center"/>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380"/>
              <w:gridCol w:w="870"/>
              <w:gridCol w:w="825"/>
              <w:gridCol w:w="855"/>
              <w:gridCol w:w="900"/>
              <w:gridCol w:w="825"/>
              <w:gridCol w:w="840"/>
              <w:gridCol w:w="830"/>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05" w:type="dxa"/>
                  <w:vMerge w:val="restart"/>
                  <w:tcBorders>
                    <w:top w:val="single" w:color="auto" w:sz="4" w:space="0"/>
                    <w:tl2br w:val="nil"/>
                    <w:tr2bl w:val="nil"/>
                  </w:tcBorders>
                  <w:noWrap w:val="0"/>
                  <w:vAlign w:val="center"/>
                </w:tcPr>
                <w:p>
                  <w:pPr>
                    <w:spacing w:beforeLines="0" w:afterLines="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w:t>
                  </w:r>
                </w:p>
              </w:tc>
              <w:tc>
                <w:tcPr>
                  <w:tcW w:w="1380" w:type="dxa"/>
                  <w:vMerge w:val="restart"/>
                  <w:tcBorders>
                    <w:top w:val="single" w:color="auto" w:sz="4" w:space="0"/>
                    <w:tl2br w:val="nil"/>
                    <w:tr2bl w:val="nil"/>
                  </w:tcBorders>
                  <w:noWrap w:val="0"/>
                  <w:vAlign w:val="center"/>
                </w:tcPr>
                <w:p>
                  <w:pPr>
                    <w:spacing w:beforeLines="0" w:afterLines="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统计</w:t>
                  </w:r>
                </w:p>
                <w:p>
                  <w:pPr>
                    <w:spacing w:beforeLines="0" w:afterLines="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结果</w:t>
                  </w:r>
                </w:p>
              </w:tc>
              <w:tc>
                <w:tcPr>
                  <w:tcW w:w="5945" w:type="dxa"/>
                  <w:gridSpan w:val="7"/>
                  <w:tcBorders>
                    <w:top w:val="single" w:color="auto" w:sz="4" w:space="0"/>
                    <w:tl2br w:val="nil"/>
                    <w:tr2bl w:val="nil"/>
                  </w:tcBorders>
                  <w:noWrap w:val="0"/>
                  <w:vAlign w:val="center"/>
                </w:tcPr>
                <w:p>
                  <w:pPr>
                    <w:spacing w:beforeLines="0" w:afterLines="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杜家崖村</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05" w:type="dxa"/>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80" w:type="dxa"/>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870"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4.12</w:t>
                  </w:r>
                </w:p>
              </w:tc>
              <w:tc>
                <w:tcPr>
                  <w:tcW w:w="82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4.13</w:t>
                  </w:r>
                </w:p>
              </w:tc>
              <w:tc>
                <w:tcPr>
                  <w:tcW w:w="85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4.14</w:t>
                  </w:r>
                </w:p>
              </w:tc>
              <w:tc>
                <w:tcPr>
                  <w:tcW w:w="900"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4.15</w:t>
                  </w:r>
                </w:p>
              </w:tc>
              <w:tc>
                <w:tcPr>
                  <w:tcW w:w="82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4.16</w:t>
                  </w:r>
                </w:p>
              </w:tc>
              <w:tc>
                <w:tcPr>
                  <w:tcW w:w="840"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4.17</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4.18</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05" w:type="dxa"/>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w:t>
                  </w:r>
                </w:p>
              </w:tc>
              <w:tc>
                <w:tcPr>
                  <w:tcW w:w="1380"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24h浓度值</w:t>
                  </w:r>
                </w:p>
              </w:tc>
              <w:tc>
                <w:tcPr>
                  <w:tcW w:w="870"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218</w:t>
                  </w:r>
                </w:p>
              </w:tc>
              <w:tc>
                <w:tcPr>
                  <w:tcW w:w="82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221</w:t>
                  </w:r>
                </w:p>
              </w:tc>
              <w:tc>
                <w:tcPr>
                  <w:tcW w:w="85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214</w:t>
                  </w:r>
                </w:p>
              </w:tc>
              <w:tc>
                <w:tcPr>
                  <w:tcW w:w="900"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212</w:t>
                  </w:r>
                </w:p>
              </w:tc>
              <w:tc>
                <w:tcPr>
                  <w:tcW w:w="82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217</w:t>
                  </w:r>
                </w:p>
              </w:tc>
              <w:tc>
                <w:tcPr>
                  <w:tcW w:w="840"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224</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215</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31" w:hRule="atLeast"/>
                <w:jc w:val="center"/>
              </w:trPr>
              <w:tc>
                <w:tcPr>
                  <w:tcW w:w="705" w:type="dxa"/>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380"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5945" w:type="dxa"/>
                  <w:gridSpan w:val="7"/>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31" w:hRule="atLeast"/>
                <w:jc w:val="center"/>
              </w:trPr>
              <w:tc>
                <w:tcPr>
                  <w:tcW w:w="705" w:type="dxa"/>
                  <w:vMerge w:val="continue"/>
                  <w:tcBorders>
                    <w:bottom w:val="single" w:color="auto" w:sz="4" w:space="0"/>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380" w:type="dxa"/>
                  <w:tcBorders>
                    <w:bottom w:val="single" w:color="auto" w:sz="4" w:space="0"/>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达标情况</w:t>
                  </w:r>
                </w:p>
              </w:tc>
              <w:tc>
                <w:tcPr>
                  <w:tcW w:w="5945" w:type="dxa"/>
                  <w:gridSpan w:val="7"/>
                  <w:tcBorders>
                    <w:bottom w:val="single" w:color="auto" w:sz="4" w:space="0"/>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达标</w:t>
                  </w:r>
                </w:p>
              </w:tc>
            </w:tr>
          </w:tbl>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根据上表</w:t>
            </w:r>
            <w:r>
              <w:rPr>
                <w:rFonts w:hint="default" w:ascii="Times New Roman" w:hAnsi="Times New Roman" w:eastAsia="宋体" w:cs="Times New Roman"/>
                <w:color w:val="auto"/>
                <w:sz w:val="24"/>
              </w:rPr>
              <w:t>可知，</w:t>
            </w:r>
            <w:r>
              <w:rPr>
                <w:rFonts w:hint="eastAsia" w:ascii="Times New Roman" w:hAnsi="Times New Roman" w:eastAsia="宋体" w:cs="Times New Roman"/>
                <w:color w:val="auto"/>
                <w:sz w:val="24"/>
                <w:lang w:val="en-US" w:eastAsia="zh-CN"/>
              </w:rPr>
              <w:t>项目区</w:t>
            </w:r>
            <w:r>
              <w:rPr>
                <w:rFonts w:hint="default" w:ascii="Times New Roman" w:hAnsi="Times New Roman" w:eastAsia="宋体" w:cs="Times New Roman"/>
                <w:color w:val="auto"/>
                <w:sz w:val="24"/>
              </w:rPr>
              <w:t>TSP</w:t>
            </w:r>
            <w:r>
              <w:rPr>
                <w:rFonts w:hint="eastAsia" w:ascii="Times New Roman" w:hAnsi="Times New Roman" w:eastAsia="宋体" w:cs="Times New Roman"/>
                <w:color w:val="auto"/>
                <w:sz w:val="24"/>
                <w:lang w:val="en-US" w:eastAsia="zh-CN"/>
              </w:rPr>
              <w:t>环境空气质量现状</w:t>
            </w:r>
            <w:r>
              <w:rPr>
                <w:rFonts w:hint="default" w:ascii="Times New Roman" w:hAnsi="Times New Roman" w:eastAsia="宋体" w:cs="Times New Roman"/>
                <w:color w:val="auto"/>
                <w:sz w:val="24"/>
              </w:rPr>
              <w:t>满足《环境空气质量标准》（GB3095-2012）中的二级标准，项目区域环境空气质量现状良好。</w:t>
            </w:r>
          </w:p>
          <w:p>
            <w:pPr>
              <w:spacing w:line="360" w:lineRule="auto"/>
              <w:ind w:firstLine="482" w:firstLineChars="200"/>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二、声环境质量现状</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根据《建设项目环境影响报告表编制技术指南》（污染影响类）（试行），</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厂界外周边50m范围内存在声环境保护目标的建设项目，应监测保护目标声环境质量现状并评价达标情况</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。经现场勘查，本项目周边50m范围内无声环境保护目标，因此，无需监测声环境质量现状。</w:t>
            </w:r>
          </w:p>
          <w:p>
            <w:pPr>
              <w:spacing w:line="360" w:lineRule="auto"/>
              <w:ind w:firstLine="480" w:firstLineChars="200"/>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三、</w:t>
            </w:r>
            <w:r>
              <w:rPr>
                <w:rFonts w:hint="default" w:ascii="Times New Roman" w:hAnsi="Times New Roman" w:eastAsia="宋体" w:cs="Times New Roman"/>
                <w:b/>
                <w:bCs/>
                <w:color w:val="auto"/>
                <w:sz w:val="24"/>
              </w:rPr>
              <w:t xml:space="preserve">地表水环境质量现状 </w:t>
            </w:r>
          </w:p>
          <w:p>
            <w:pPr>
              <w:keepNext w:val="0"/>
              <w:keepLines w:val="0"/>
              <w:pageBreakBefore w:val="0"/>
              <w:widowControl w:val="0"/>
              <w:kinsoku/>
              <w:wordWrap/>
              <w:overflowPunct/>
              <w:topLinePunct w:val="0"/>
              <w:autoSpaceDE/>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（1）功能区划</w:t>
            </w:r>
          </w:p>
          <w:p>
            <w:pPr>
              <w:keepNext w:val="0"/>
              <w:keepLines w:val="0"/>
              <w:pageBreakBefore w:val="0"/>
              <w:widowControl w:val="0"/>
              <w:kinsoku/>
              <w:wordWrap/>
              <w:overflowPunct/>
              <w:topLinePunct w:val="0"/>
              <w:autoSpaceDE/>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kern w:val="2"/>
                <w:sz w:val="24"/>
                <w:szCs w:val="24"/>
                <w:lang w:val="en-US" w:eastAsia="zh-CN" w:bidi="ar-SA"/>
              </w:rPr>
              <w:t>厂区临近水体为小南岔河，距本项目东厂界6.5m</w:t>
            </w:r>
            <w:r>
              <w:rPr>
                <w:rFonts w:hint="default" w:ascii="Times New Roman" w:hAnsi="Times New Roman" w:eastAsia="宋体" w:cs="Times New Roman"/>
                <w:color w:val="auto"/>
                <w:sz w:val="24"/>
                <w:szCs w:val="32"/>
                <w:lang w:val="en-US" w:eastAsia="zh-CN"/>
              </w:rPr>
              <w:t>，小南岔河为广通河支沟，广通河为洮河支流，洮河为黄河一级支流，</w:t>
            </w:r>
          </w:p>
          <w:p>
            <w:pPr>
              <w:keepNext w:val="0"/>
              <w:keepLines w:val="0"/>
              <w:pageBreakBefore w:val="0"/>
              <w:widowControl w:val="0"/>
              <w:kinsoku/>
              <w:wordWrap/>
              <w:overflowPunct/>
              <w:topLinePunct w:val="0"/>
              <w:autoSpaceDE/>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rPr>
              <w:t>根据《甘肃省水环境功能区划》（2013）</w:t>
            </w:r>
            <w:r>
              <w:rPr>
                <w:rFonts w:hint="default" w:ascii="Times New Roman" w:hAnsi="Times New Roman" w:eastAsia="宋体" w:cs="Times New Roman"/>
                <w:color w:val="auto"/>
                <w:kern w:val="2"/>
                <w:sz w:val="24"/>
                <w:szCs w:val="24"/>
                <w:lang w:val="en-US" w:eastAsia="zh-CN" w:bidi="ar-SA"/>
              </w:rPr>
              <w:t>项目区广通河水功能区为广通河和政、广河工业、农业用水区，水质目标为</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 3 \* ROMAN \* MERGEFORMAT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rPr>
              <w:t>III</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类</w:t>
            </w:r>
            <w:r>
              <w:rPr>
                <w:rFonts w:hint="default" w:ascii="Times New Roman" w:hAnsi="Times New Roman" w:eastAsia="宋体" w:cs="Times New Roman"/>
                <w:snapToGrid w:val="0"/>
                <w:color w:val="auto"/>
                <w:spacing w:val="-1"/>
                <w:kern w:val="0"/>
                <w:sz w:val="24"/>
                <w:szCs w:val="24"/>
                <w:lang w:val="en-US" w:eastAsia="zh-CN"/>
              </w:rPr>
              <w:t>（起始断面为买家集，终止断面为入洮河口）</w:t>
            </w: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lang w:val="en-US" w:eastAsia="zh-CN"/>
              </w:rPr>
              <w:t>水功能</w:t>
            </w:r>
            <w:r>
              <w:rPr>
                <w:rFonts w:hint="default" w:ascii="Times New Roman" w:hAnsi="Times New Roman" w:eastAsia="宋体" w:cs="Times New Roman"/>
                <w:color w:val="auto"/>
                <w:kern w:val="2"/>
                <w:sz w:val="24"/>
                <w:szCs w:val="24"/>
                <w:lang w:val="en-US" w:eastAsia="zh-CN" w:bidi="ar-SA"/>
              </w:rPr>
              <w:t>区划图见附图</w:t>
            </w:r>
            <w:r>
              <w:rPr>
                <w:rFonts w:hint="eastAsia"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val="0"/>
              <w:bidi w:val="0"/>
              <w:adjustRightInd/>
              <w:snapToGrid/>
              <w:spacing w:line="360" w:lineRule="auto"/>
              <w:ind w:firstLine="480" w:firstLineChars="200"/>
              <w:jc w:val="both"/>
              <w:textAlignment w:val="center"/>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（2）地表水质量现状</w:t>
            </w:r>
          </w:p>
          <w:p>
            <w:pPr>
              <w:keepNext w:val="0"/>
              <w:keepLines w:val="0"/>
              <w:pageBreakBefore w:val="0"/>
              <w:widowControl w:val="0"/>
              <w:kinsoku/>
              <w:wordWrap/>
              <w:overflowPunct/>
              <w:topLinePunct w:val="0"/>
              <w:autoSpaceDE/>
              <w:bidi w:val="0"/>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根据《建设项目环境影响报告表编制技术指南（污染影响类）（试行）》中明确提出区域地表水环境质量现状评价</w:t>
            </w:r>
            <w:r>
              <w:rPr>
                <w:rFonts w:hint="eastAsia" w:cs="Times New Roman"/>
                <w:color w:val="auto"/>
                <w:sz w:val="24"/>
                <w:lang w:eastAsia="zh-CN"/>
              </w:rPr>
              <w:t>“</w:t>
            </w:r>
            <w:r>
              <w:rPr>
                <w:rFonts w:hint="default" w:ascii="Times New Roman" w:hAnsi="Times New Roman" w:eastAsia="宋体" w:cs="Times New Roman"/>
                <w:color w:val="auto"/>
                <w:sz w:val="24"/>
              </w:rPr>
              <w:t>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s="Times New Roman"/>
                <w:color w:val="auto"/>
                <w:sz w:val="24"/>
                <w:lang w:eastAsia="zh-CN"/>
              </w:rPr>
              <w:t>”</w:t>
            </w:r>
            <w:r>
              <w:rPr>
                <w:rFonts w:hint="default" w:ascii="Times New Roman" w:hAnsi="Times New Roman" w:eastAsia="宋体" w:cs="Times New Roman"/>
                <w:color w:val="auto"/>
                <w:sz w:val="24"/>
              </w:rPr>
              <w:t>。</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依据以上技术原则要求，本次引用临夏州生态环境局公布</w:t>
            </w:r>
            <w:r>
              <w:rPr>
                <w:rFonts w:hint="eastAsia" w:ascii="Times New Roman" w:hAnsi="Times New Roman" w:eastAsia="宋体" w:cs="Times New Roman"/>
                <w:color w:val="auto"/>
                <w:sz w:val="24"/>
                <w:lang w:val="en-US" w:eastAsia="zh-CN"/>
              </w:rPr>
              <w:t>的</w:t>
            </w:r>
            <w:r>
              <w:rPr>
                <w:rFonts w:hint="default" w:ascii="Times New Roman" w:hAnsi="Times New Roman" w:eastAsia="宋体" w:cs="Times New Roman"/>
                <w:color w:val="auto"/>
                <w:sz w:val="24"/>
              </w:rPr>
              <w:t>《临夏州20</w:t>
            </w:r>
            <w:r>
              <w:rPr>
                <w:rFonts w:hint="default" w:ascii="Times New Roman" w:hAnsi="Times New Roman" w:eastAsia="宋体" w:cs="Times New Roman"/>
                <w:color w:val="auto"/>
                <w:sz w:val="24"/>
                <w:lang w:val="en-US" w:eastAsia="zh-CN"/>
              </w:rPr>
              <w:t>23</w:t>
            </w:r>
            <w:r>
              <w:rPr>
                <w:rFonts w:hint="default" w:ascii="Times New Roman" w:hAnsi="Times New Roman" w:eastAsia="宋体" w:cs="Times New Roman"/>
                <w:color w:val="auto"/>
                <w:sz w:val="24"/>
              </w:rPr>
              <w:t>年1-12月水环境质量达标情况》监测数据。根据该数据，项目区广通河临夏州辖区省考断面虎家大桥、宏良大桥断面水质目标为Ⅲ类，实测两个断面1-12月平均水质均为Ⅲ类</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地表水质量较好。</w:t>
            </w:r>
          </w:p>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四、地下水环境质量现状</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kern w:val="0"/>
                <w:sz w:val="24"/>
                <w:highlight w:val="none"/>
                <w:lang w:val="en-US" w:eastAsia="zh-CN"/>
              </w:rPr>
              <w:t>根据《建设项目环境影响报告表编制指南（污染影响类）（试行）》，地下水环境原则上不开展现状调查，建设项目存在地下水环境污染途径的，应结合污染源、保护目标分布情况开展环境现状调查以留作背景值。本项目不存在地下水污染途径，</w:t>
            </w:r>
            <w:r>
              <w:rPr>
                <w:rFonts w:hint="default" w:ascii="Times New Roman" w:hAnsi="Times New Roman" w:eastAsia="宋体" w:cs="Times New Roman"/>
                <w:color w:val="auto"/>
                <w:sz w:val="24"/>
                <w:highlight w:val="none"/>
              </w:rPr>
              <w:t>故本次不开展地下水调查</w:t>
            </w:r>
            <w:r>
              <w:rPr>
                <w:rFonts w:hint="default" w:ascii="Times New Roman" w:hAnsi="Times New Roman" w:eastAsia="宋体" w:cs="Times New Roman"/>
                <w:color w:val="auto"/>
                <w:sz w:val="24"/>
                <w:highlight w:val="none"/>
                <w:lang w:eastAsia="zh-CN"/>
              </w:rPr>
              <w:t>。</w:t>
            </w:r>
          </w:p>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五、土壤环境质量现状</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kern w:val="0"/>
                <w:sz w:val="24"/>
                <w:highlight w:val="none"/>
                <w:lang w:val="en-US" w:eastAsia="zh-CN"/>
              </w:rPr>
              <w:t>根据《建设项目环境影响报告表编制指南（污染影响类）（试行）》，土壤环境原则上不开展现状调查，建设项目存在土壤环境污染途径的，应结合污染源、保护目标分布情况开展环境现状调查以留作背景值。本项目不存在土壤污染途径，</w:t>
            </w:r>
            <w:r>
              <w:rPr>
                <w:rFonts w:hint="default" w:ascii="Times New Roman" w:hAnsi="Times New Roman" w:eastAsia="宋体" w:cs="Times New Roman"/>
                <w:color w:val="auto"/>
                <w:sz w:val="24"/>
                <w:highlight w:val="none"/>
              </w:rPr>
              <w:t>故本次不开展土壤调查</w:t>
            </w:r>
            <w:r>
              <w:rPr>
                <w:rFonts w:hint="default" w:ascii="Times New Roman" w:hAnsi="Times New Roman" w:eastAsia="宋体" w:cs="Times New Roman"/>
                <w:color w:val="auto"/>
                <w:sz w:val="24"/>
                <w:highlight w:val="none"/>
                <w:lang w:eastAsia="zh-CN"/>
              </w:rPr>
              <w:t>。</w:t>
            </w:r>
          </w:p>
          <w:p>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六、生态环境质量现状</w:t>
            </w:r>
          </w:p>
          <w:p>
            <w:pPr>
              <w:adjustRightInd w:val="0"/>
              <w:snapToGrid w:val="0"/>
              <w:spacing w:line="360" w:lineRule="auto"/>
              <w:ind w:firstLine="480" w:firstLineChars="200"/>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4"/>
                <w:highlight w:val="none"/>
                <w:lang w:val="en-US" w:eastAsia="zh-CN"/>
              </w:rPr>
              <w:t>根据</w:t>
            </w:r>
            <w:r>
              <w:rPr>
                <w:rFonts w:hint="default" w:ascii="Times New Roman" w:hAnsi="Times New Roman" w:eastAsia="宋体" w:cs="Times New Roman"/>
                <w:color w:val="auto"/>
                <w:kern w:val="0"/>
                <w:sz w:val="24"/>
                <w:highlight w:val="none"/>
                <w:lang w:val="en-US" w:eastAsia="zh-CN"/>
              </w:rPr>
              <w:t>《建设项目环境影响报告表编制技术指南》（污染影响类）（试行）， 第（三）条第4条</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产业园区外建设项目新增用地且用地范围内含有生态环境保护目标时，应进行生态现状调查。</w:t>
            </w:r>
            <w:r>
              <w:rPr>
                <w:rFonts w:hint="eastAsia" w:ascii="Times New Roman" w:hAnsi="Times New Roman" w:eastAsia="宋体" w:cs="Times New Roman"/>
                <w:color w:val="auto"/>
                <w:kern w:val="0"/>
                <w:sz w:val="24"/>
                <w:highlight w:val="none"/>
                <w:lang w:val="en-US" w:eastAsia="zh-CN"/>
              </w:rPr>
              <w:t>项目位于和政循环经济产业园内，且根据现场调查，厂区周边无</w:t>
            </w:r>
            <w:r>
              <w:rPr>
                <w:rFonts w:hint="default" w:ascii="Times New Roman" w:hAnsi="Times New Roman" w:eastAsia="宋体" w:cs="Times New Roman"/>
                <w:color w:val="auto"/>
                <w:kern w:val="0"/>
                <w:sz w:val="24"/>
                <w:highlight w:val="none"/>
                <w:lang w:val="en-US" w:eastAsia="zh-CN"/>
              </w:rPr>
              <w:t>生态环境保护目标</w:t>
            </w:r>
            <w:r>
              <w:rPr>
                <w:rFonts w:hint="eastAsia" w:ascii="Times New Roman" w:hAnsi="Times New Roman" w:eastAsia="宋体" w:cs="Times New Roman"/>
                <w:color w:val="auto"/>
                <w:kern w:val="0"/>
                <w:sz w:val="24"/>
                <w:highlight w:val="none"/>
                <w:lang w:val="en-US" w:eastAsia="zh-CN"/>
              </w:rPr>
              <w:t>，因此不需要进行现状调查</w:t>
            </w:r>
            <w:r>
              <w:rPr>
                <w:rFonts w:hint="eastAsia" w:ascii="Times New Roman" w:hAnsi="Times New Roman" w:cs="Times New Roman"/>
                <w:color w:val="auto"/>
                <w:kern w:val="0"/>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jc w:val="center"/>
        </w:trPr>
        <w:tc>
          <w:tcPr>
            <w:tcW w:w="80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w:t>
            </w:r>
          </w:p>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保护</w:t>
            </w:r>
          </w:p>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目标</w:t>
            </w:r>
          </w:p>
        </w:tc>
        <w:tc>
          <w:tcPr>
            <w:tcW w:w="82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本项目位于和政循环经济产业园区辐照产业园</w:t>
            </w:r>
            <w:r>
              <w:rPr>
                <w:rFonts w:hint="default" w:ascii="Times New Roman" w:hAnsi="Times New Roman" w:eastAsia="宋体" w:cs="Times New Roman"/>
                <w:color w:val="auto"/>
                <w:sz w:val="24"/>
                <w:highlight w:val="none"/>
                <w:lang w:val="en-US" w:eastAsia="zh-CN"/>
              </w:rPr>
              <w:t>内</w:t>
            </w:r>
            <w:r>
              <w:rPr>
                <w:rFonts w:hint="default" w:ascii="Times New Roman" w:hAnsi="Times New Roman" w:eastAsia="宋体" w:cs="Times New Roman"/>
                <w:color w:val="auto"/>
                <w:sz w:val="24"/>
                <w:highlight w:val="none"/>
              </w:rPr>
              <w:t>，项目实施地周围无自然保护区、野生动植物栖息地、特殊景观、历史文化遗迹等环境敏感要素。评价区无重点保护生态品种及濒危生物物种，也无文物古迹等人文景观。根据建设项目所处地理位置和当地的自然环境、社会环境功能以及本区域环境污染特征，项目敏感点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1、大气环境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项目厂界外500米范围存在农村地区中人群较集中的区域。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2、声环境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厂界外50米范围内无声环境保护目标。</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3、地表水环境</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小南岔河</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为广通河支沟，</w:t>
            </w:r>
            <w:r>
              <w:rPr>
                <w:rFonts w:hint="default" w:ascii="Times New Roman" w:hAnsi="Times New Roman" w:eastAsia="宋体" w:cs="Times New Roman"/>
                <w:color w:val="auto"/>
                <w:sz w:val="24"/>
                <w:highlight w:val="none"/>
              </w:rPr>
              <w:t>执行《地表水环境质量标准》（GB3838-2002）中的III类</w:t>
            </w:r>
            <w:r>
              <w:rPr>
                <w:rFonts w:hint="default" w:ascii="Times New Roman" w:hAnsi="Times New Roman" w:eastAsia="宋体" w:cs="Times New Roman"/>
                <w:color w:val="auto"/>
                <w:sz w:val="24"/>
                <w:highlight w:val="none"/>
                <w:lang w:val="en-US" w:eastAsia="zh-CN"/>
              </w:rPr>
              <w:t>标准</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4、地下水环境</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厂界外500米范围内无地下水集中式饮用水水源和热水、矿泉水、温泉等特殊地下水资源。</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5、生态环境</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根据《建设项目环境影响报告表编制技术指南》（污染影响类）（试行）， 第（三）条第4条</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产业园区外建设项目新增用地且用地范围内含有生态环境保护目标时，应进行生态现状调查</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。项目位于和政循环经济产业园，不涉及生态现状调查。</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根据项目特点及周围环境调查可知，范围内环境主要保护目标见表3-</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w:t>
            </w:r>
          </w:p>
          <w:p>
            <w:pPr>
              <w:widowControl w:val="0"/>
              <w:spacing w:line="360" w:lineRule="auto"/>
              <w:ind w:firstLine="0" w:firstLineChars="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表3-</w:t>
            </w:r>
            <w:r>
              <w:rPr>
                <w:rFonts w:hint="eastAsia"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 xml:space="preserve">  环境保护目标一览表</w:t>
            </w:r>
          </w:p>
          <w:tbl>
            <w:tblPr>
              <w:tblStyle w:val="24"/>
              <w:tblW w:w="8040"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984"/>
              <w:gridCol w:w="612"/>
              <w:gridCol w:w="672"/>
              <w:gridCol w:w="1152"/>
              <w:gridCol w:w="1840"/>
              <w:gridCol w:w="802"/>
              <w:gridCol w:w="101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60" w:type="dxa"/>
                  <w:vMerge w:val="restart"/>
                  <w:tcBorders>
                    <w:top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环境要素</w:t>
                  </w:r>
                </w:p>
              </w:tc>
              <w:tc>
                <w:tcPr>
                  <w:tcW w:w="984" w:type="dxa"/>
                  <w:vMerge w:val="restart"/>
                  <w:tcBorders>
                    <w:top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保护对象</w:t>
                  </w:r>
                </w:p>
              </w:tc>
              <w:tc>
                <w:tcPr>
                  <w:tcW w:w="1284" w:type="dxa"/>
                  <w:gridSpan w:val="2"/>
                  <w:tcBorders>
                    <w:top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坐标</w:t>
                  </w:r>
                  <w:r>
                    <w:rPr>
                      <w:rFonts w:hint="default" w:ascii="Times New Roman" w:hAnsi="Times New Roman" w:eastAsia="宋体" w:cs="Times New Roman"/>
                      <w:b w:val="0"/>
                      <w:bCs w:val="0"/>
                      <w:color w:val="auto"/>
                      <w:sz w:val="21"/>
                      <w:szCs w:val="21"/>
                      <w:lang w:val="en-US" w:eastAsia="zh-CN"/>
                    </w:rPr>
                    <w:t>/m</w:t>
                  </w:r>
                </w:p>
              </w:tc>
              <w:tc>
                <w:tcPr>
                  <w:tcW w:w="1152" w:type="dxa"/>
                  <w:vMerge w:val="restart"/>
                  <w:tcBorders>
                    <w:top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保护内容</w:t>
                  </w:r>
                </w:p>
              </w:tc>
              <w:tc>
                <w:tcPr>
                  <w:tcW w:w="1840" w:type="dxa"/>
                  <w:vMerge w:val="restart"/>
                  <w:tcBorders>
                    <w:top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rPr>
                    <w:t>环境功能区</w:t>
                  </w:r>
                </w:p>
              </w:tc>
              <w:tc>
                <w:tcPr>
                  <w:tcW w:w="802" w:type="dxa"/>
                  <w:vMerge w:val="restart"/>
                  <w:tcBorders>
                    <w:top w:val="single" w:color="auto" w:sz="4" w:space="0"/>
                    <w:tl2br w:val="nil"/>
                    <w:tr2bl w:val="nil"/>
                  </w:tcBorders>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相对厂址方位</w:t>
                  </w:r>
                </w:p>
              </w:tc>
              <w:tc>
                <w:tcPr>
                  <w:tcW w:w="1018" w:type="dxa"/>
                  <w:vMerge w:val="restart"/>
                  <w:tcBorders>
                    <w:top w:val="single" w:color="auto" w:sz="4" w:space="0"/>
                    <w:tl2br w:val="nil"/>
                    <w:tr2bl w:val="nil"/>
                  </w:tcBorders>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距离厂界</w:t>
                  </w:r>
                  <w:r>
                    <w:rPr>
                      <w:rFonts w:hint="default" w:ascii="Times New Roman" w:hAnsi="Times New Roman" w:eastAsia="宋体" w:cs="Times New Roman"/>
                      <w:b w:val="0"/>
                      <w:bCs w:val="0"/>
                      <w:color w:val="auto"/>
                      <w:sz w:val="21"/>
                      <w:szCs w:val="21"/>
                      <w:highlight w:val="none"/>
                    </w:rPr>
                    <w:t>最近距离</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lang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color w:val="auto"/>
                      <w:sz w:val="21"/>
                      <w:szCs w:val="21"/>
                    </w:rPr>
                  </w:pPr>
                </w:p>
              </w:tc>
              <w:tc>
                <w:tcPr>
                  <w:tcW w:w="9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color w:val="auto"/>
                      <w:sz w:val="21"/>
                      <w:szCs w:val="21"/>
                    </w:rPr>
                  </w:pPr>
                </w:p>
              </w:tc>
              <w:tc>
                <w:tcPr>
                  <w:tcW w:w="612" w:type="dxa"/>
                  <w:tcBorders>
                    <w:tl2br w:val="nil"/>
                    <w:tr2bl w:val="nil"/>
                  </w:tcBorders>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highlight w:val="none"/>
                    </w:rPr>
                    <w:t>X</w:t>
                  </w:r>
                </w:p>
              </w:tc>
              <w:tc>
                <w:tcPr>
                  <w:tcW w:w="672" w:type="dxa"/>
                  <w:tcBorders>
                    <w:tl2br w:val="nil"/>
                    <w:tr2bl w:val="nil"/>
                  </w:tcBorders>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highlight w:val="none"/>
                    </w:rPr>
                    <w:t>Y</w:t>
                  </w:r>
                </w:p>
              </w:tc>
              <w:tc>
                <w:tcPr>
                  <w:tcW w:w="115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color w:val="auto"/>
                      <w:sz w:val="21"/>
                      <w:szCs w:val="21"/>
                    </w:rPr>
                  </w:pPr>
                </w:p>
              </w:tc>
              <w:tc>
                <w:tcPr>
                  <w:tcW w:w="184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color w:val="auto"/>
                      <w:sz w:val="21"/>
                      <w:szCs w:val="21"/>
                    </w:rPr>
                  </w:pPr>
                </w:p>
              </w:tc>
              <w:tc>
                <w:tcPr>
                  <w:tcW w:w="8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color w:val="auto"/>
                      <w:sz w:val="21"/>
                      <w:szCs w:val="21"/>
                    </w:rPr>
                  </w:pPr>
                </w:p>
              </w:tc>
              <w:tc>
                <w:tcPr>
                  <w:tcW w:w="101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96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9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槐庄村阳屲</w:t>
                  </w:r>
                </w:p>
              </w:tc>
              <w:tc>
                <w:tcPr>
                  <w:tcW w:w="61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-246</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0</w:t>
                  </w:r>
                </w:p>
              </w:tc>
              <w:tc>
                <w:tcPr>
                  <w:tcW w:w="11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59户，180人</w:t>
                  </w:r>
                </w:p>
              </w:tc>
              <w:tc>
                <w:tcPr>
                  <w:tcW w:w="184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《环境空气质量标准》（GB3095-2012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二类区</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西</w:t>
                  </w:r>
                </w:p>
              </w:tc>
              <w:tc>
                <w:tcPr>
                  <w:tcW w:w="101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246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rPr>
                  </w:pPr>
                </w:p>
              </w:tc>
              <w:tc>
                <w:tcPr>
                  <w:tcW w:w="9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杨家沟</w:t>
                  </w:r>
                </w:p>
              </w:tc>
              <w:tc>
                <w:tcPr>
                  <w:tcW w:w="61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-157</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-441</w:t>
                  </w:r>
                </w:p>
              </w:tc>
              <w:tc>
                <w:tcPr>
                  <w:tcW w:w="11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3户，10人</w:t>
                  </w:r>
                </w:p>
              </w:tc>
              <w:tc>
                <w:tcPr>
                  <w:tcW w:w="184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color w:val="auto"/>
                      <w:sz w:val="21"/>
                      <w:szCs w:val="21"/>
                      <w:lang w:val="en-US" w:eastAsia="zh-CN"/>
                    </w:rPr>
                  </w:pP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西南</w:t>
                  </w:r>
                </w:p>
              </w:tc>
              <w:tc>
                <w:tcPr>
                  <w:tcW w:w="101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481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9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rPr>
                  </w:pPr>
                </w:p>
              </w:tc>
              <w:tc>
                <w:tcPr>
                  <w:tcW w:w="9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杜家崖</w:t>
                  </w:r>
                </w:p>
              </w:tc>
              <w:tc>
                <w:tcPr>
                  <w:tcW w:w="61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278</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350</w:t>
                  </w:r>
                </w:p>
              </w:tc>
              <w:tc>
                <w:tcPr>
                  <w:tcW w:w="11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31户，95人</w:t>
                  </w:r>
                </w:p>
              </w:tc>
              <w:tc>
                <w:tcPr>
                  <w:tcW w:w="184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color w:val="auto"/>
                      <w:sz w:val="21"/>
                      <w:szCs w:val="21"/>
                      <w:lang w:val="en-US" w:eastAsia="zh-CN"/>
                    </w:rPr>
                  </w:pP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东北</w:t>
                  </w:r>
                </w:p>
              </w:tc>
              <w:tc>
                <w:tcPr>
                  <w:tcW w:w="101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446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9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rPr>
                  </w:pPr>
                </w:p>
              </w:tc>
              <w:tc>
                <w:tcPr>
                  <w:tcW w:w="9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虎家庄</w:t>
                  </w:r>
                </w:p>
              </w:tc>
              <w:tc>
                <w:tcPr>
                  <w:tcW w:w="61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80</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-485</w:t>
                  </w:r>
                </w:p>
              </w:tc>
              <w:tc>
                <w:tcPr>
                  <w:tcW w:w="11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4户，15人</w:t>
                  </w:r>
                </w:p>
              </w:tc>
              <w:tc>
                <w:tcPr>
                  <w:tcW w:w="184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color w:val="auto"/>
                      <w:sz w:val="21"/>
                      <w:szCs w:val="21"/>
                      <w:lang w:val="en-US" w:eastAsia="zh-CN"/>
                    </w:rPr>
                  </w:pP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东南</w:t>
                  </w:r>
                </w:p>
              </w:tc>
              <w:tc>
                <w:tcPr>
                  <w:tcW w:w="101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496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7080" w:type="dxa"/>
                  <w:gridSpan w:val="7"/>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项目周围</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0m范围无声环境敏感目标。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960" w:type="dxa"/>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984" w:type="dxa"/>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highlight w:val="none"/>
                      <w:lang w:val="en-US" w:eastAsia="zh-CN" w:bidi="ar-SA"/>
                    </w:rPr>
                    <w:t>小南岔河</w:t>
                  </w:r>
                </w:p>
              </w:tc>
              <w:tc>
                <w:tcPr>
                  <w:tcW w:w="2436" w:type="dxa"/>
                  <w:gridSpan w:val="3"/>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40" w:type="dxa"/>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《地表水质量标准》（GB3838—2002）III类</w:t>
                  </w:r>
                  <w:r>
                    <w:rPr>
                      <w:rFonts w:hint="default" w:ascii="Times New Roman" w:hAnsi="Times New Roman" w:eastAsia="宋体" w:cs="Times New Roman"/>
                      <w:color w:val="auto"/>
                      <w:sz w:val="21"/>
                      <w:szCs w:val="21"/>
                      <w:highlight w:val="none"/>
                      <w:lang w:val="en-US" w:eastAsia="zh-CN"/>
                    </w:rPr>
                    <w:t>水体</w:t>
                  </w:r>
                </w:p>
              </w:tc>
              <w:tc>
                <w:tcPr>
                  <w:tcW w:w="802" w:type="dxa"/>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西北侧</w:t>
                  </w:r>
                </w:p>
              </w:tc>
              <w:tc>
                <w:tcPr>
                  <w:tcW w:w="1018" w:type="dxa"/>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r>
          </w:tbl>
          <w:p>
            <w:pPr>
              <w:adjustRightInd w:val="0"/>
              <w:snapToGrid w:val="0"/>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highlight w:val="none"/>
              </w:rPr>
              <w:t>以厂区中心点为坐标原点（0，0）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jc w:val="center"/>
        </w:trPr>
        <w:tc>
          <w:tcPr>
            <w:tcW w:w="806" w:type="dxa"/>
            <w:noWrap w:val="0"/>
            <w:tcMar>
              <w:left w:w="28" w:type="dxa"/>
              <w:right w:w="28" w:type="dxa"/>
            </w:tcMar>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w:t>
            </w:r>
          </w:p>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物排</w:t>
            </w:r>
          </w:p>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放控</w:t>
            </w:r>
          </w:p>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制标</w:t>
            </w:r>
          </w:p>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准</w:t>
            </w:r>
          </w:p>
        </w:tc>
        <w:tc>
          <w:tcPr>
            <w:tcW w:w="8255" w:type="dxa"/>
            <w:noWrap w:val="0"/>
            <w:vAlign w:val="center"/>
          </w:tcPr>
          <w:p>
            <w:pPr>
              <w:adjustRightInd w:val="0"/>
              <w:snapToGrid w:val="0"/>
              <w:spacing w:before="120" w:beforeLines="50"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、废气排放标准</w:t>
            </w:r>
          </w:p>
          <w:p>
            <w:pPr>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①施工期</w:t>
            </w:r>
          </w:p>
          <w:p>
            <w:pPr>
              <w:keepNext w:val="0"/>
              <w:keepLines w:val="0"/>
              <w:pageBreakBefore w:val="0"/>
              <w:widowControl w:val="0"/>
              <w:kinsoku/>
              <w:wordWrap/>
              <w:overflowPunct/>
              <w:topLinePunct w:val="0"/>
              <w:autoSpaceDE/>
              <w:autoSpaceDN/>
              <w:bidi w:val="0"/>
              <w:spacing w:after="0" w:line="360" w:lineRule="auto"/>
              <w:ind w:left="0" w:leftChars="0" w:firstLine="480" w:firstLineChars="200"/>
              <w:jc w:val="both"/>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施工期无组织粉尘排放执行《大气污染物综合排放标准》（GB16297-1996）表2中标准限值，即周界外颗粒物浓度≤1.0mg/m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vertAlign w:val="baseline"/>
                <w:lang w:val="en-US" w:eastAsia="zh-CN" w:bidi="ar-SA"/>
              </w:rPr>
              <w:t>，见表3-</w:t>
            </w:r>
            <w:r>
              <w:rPr>
                <w:rFonts w:hint="eastAsia" w:cs="Times New Roman"/>
                <w:color w:val="auto"/>
                <w:kern w:val="0"/>
                <w:sz w:val="24"/>
                <w:szCs w:val="20"/>
                <w:vertAlign w:val="baseline"/>
                <w:lang w:val="en-US" w:eastAsia="zh-CN" w:bidi="ar-SA"/>
              </w:rPr>
              <w:t>4</w:t>
            </w:r>
            <w:r>
              <w:rPr>
                <w:rFonts w:hint="default" w:ascii="Times New Roman" w:hAnsi="Times New Roman" w:eastAsia="宋体" w:cs="Times New Roman"/>
                <w:color w:val="auto"/>
                <w:kern w:val="0"/>
                <w:sz w:val="24"/>
                <w:szCs w:val="20"/>
                <w:lang w:val="en-US" w:eastAsia="zh-CN" w:bidi="ar-SA"/>
              </w:rPr>
              <w:t>。</w:t>
            </w:r>
          </w:p>
          <w:p>
            <w:pPr>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2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运营期</w:t>
            </w:r>
          </w:p>
          <w:p>
            <w:pPr>
              <w:bidi w:val="0"/>
              <w:ind w:firstLine="48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项目厂界无组织粉尘执行</w:t>
            </w:r>
            <w:r>
              <w:rPr>
                <w:rFonts w:hint="default" w:ascii="Times New Roman" w:hAnsi="Times New Roman" w:eastAsia="宋体" w:cs="Times New Roman"/>
                <w:color w:val="auto"/>
                <w:kern w:val="0"/>
                <w:sz w:val="24"/>
                <w:szCs w:val="20"/>
                <w:lang w:val="en-US" w:eastAsia="zh-CN" w:bidi="ar-SA"/>
              </w:rPr>
              <w:t>《大气污染物综合排放标准》（GB16297-1996）表2中标准限值，即周界外颗粒物浓度≤1.0mg/m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vertAlign w:val="baseline"/>
                <w:lang w:val="en-US" w:eastAsia="zh-CN" w:bidi="ar-SA"/>
              </w:rPr>
              <w:t>，见表3-</w:t>
            </w:r>
            <w:r>
              <w:rPr>
                <w:rFonts w:hint="eastAsia" w:cs="Times New Roman"/>
                <w:color w:val="auto"/>
                <w:kern w:val="0"/>
                <w:sz w:val="24"/>
                <w:szCs w:val="20"/>
                <w:vertAlign w:val="baseline"/>
                <w:lang w:val="en-US" w:eastAsia="zh-CN" w:bidi="ar-SA"/>
              </w:rPr>
              <w:t>4</w:t>
            </w:r>
            <w:r>
              <w:rPr>
                <w:rFonts w:hint="default" w:ascii="Times New Roman" w:hAnsi="Times New Roman" w:eastAsia="宋体" w:cs="Times New Roman"/>
                <w:color w:val="auto"/>
                <w:kern w:val="0"/>
                <w:sz w:val="24"/>
                <w:szCs w:val="20"/>
                <w:lang w:val="en-US" w:eastAsia="zh-CN" w:bidi="ar-SA"/>
              </w:rPr>
              <w:t>。</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项目锅炉运营期生产过程中大气污染物排放执行《锅炉大气污染物排放标</w:t>
            </w:r>
            <w:r>
              <w:rPr>
                <w:rFonts w:hint="default" w:ascii="Times New Roman" w:hAnsi="Times New Roman" w:eastAsia="宋体" w:cs="Times New Roman"/>
                <w:color w:val="auto"/>
                <w:lang w:val="en-US" w:eastAsia="zh-CN"/>
              </w:rPr>
              <w:t>锅炉准》（GB13271-2014）中表2燃气锅炉的标准限值，见下表3-</w:t>
            </w:r>
            <w:r>
              <w:rPr>
                <w:rFonts w:hint="eastAsia" w:cs="Times New Roman"/>
                <w:color w:val="auto"/>
                <w:lang w:val="en-US" w:eastAsia="zh-CN"/>
              </w:rPr>
              <w:t>5</w:t>
            </w:r>
            <w:r>
              <w:rPr>
                <w:rFonts w:hint="default" w:ascii="Times New Roman" w:hAnsi="Times New Roman" w:eastAsia="宋体" w:cs="Times New Roman"/>
                <w:color w:val="auto"/>
                <w:lang w:val="en-US" w:eastAsia="zh-CN"/>
              </w:rPr>
              <w:t>。</w:t>
            </w:r>
          </w:p>
          <w:p>
            <w:pPr>
              <w:keepNext w:val="0"/>
              <w:keepLines w:val="0"/>
              <w:pageBreakBefore w:val="0"/>
              <w:widowControl w:val="0"/>
              <w:kinsoku/>
              <w:wordWrap/>
              <w:overflowPunct/>
              <w:topLinePunct w:val="0"/>
              <w:autoSpaceDE/>
              <w:autoSpaceDN/>
              <w:bidi w:val="0"/>
              <w:spacing w:after="0" w:line="360" w:lineRule="auto"/>
              <w:ind w:left="0" w:leftChars="0" w:firstLine="480" w:firstLineChars="200"/>
              <w:jc w:val="both"/>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b w:val="0"/>
                <w:color w:val="auto"/>
                <w:kern w:val="2"/>
                <w:sz w:val="24"/>
                <w:szCs w:val="24"/>
                <w:lang w:val="en-US" w:eastAsia="zh-CN" w:bidi="ar-SA"/>
              </w:rPr>
              <w:t>项目地埋一体式污水处理站无组织排放的NH</w:t>
            </w:r>
            <w:r>
              <w:rPr>
                <w:rFonts w:hint="default" w:ascii="Times New Roman" w:hAnsi="Times New Roman" w:eastAsia="宋体" w:cs="Times New Roman"/>
                <w:b w:val="0"/>
                <w:color w:val="auto"/>
                <w:kern w:val="2"/>
                <w:sz w:val="24"/>
                <w:szCs w:val="24"/>
                <w:vertAlign w:val="subscript"/>
                <w:lang w:val="en-US" w:eastAsia="zh-CN" w:bidi="ar-SA"/>
              </w:rPr>
              <w:t>3</w:t>
            </w:r>
            <w:r>
              <w:rPr>
                <w:rFonts w:hint="default" w:ascii="Times New Roman" w:hAnsi="Times New Roman" w:eastAsia="宋体" w:cs="Times New Roman"/>
                <w:b w:val="0"/>
                <w:color w:val="auto"/>
                <w:kern w:val="2"/>
                <w:sz w:val="24"/>
                <w:szCs w:val="24"/>
                <w:lang w:val="en-US" w:eastAsia="zh-CN" w:bidi="ar-SA"/>
              </w:rPr>
              <w:t>、H</w:t>
            </w:r>
            <w:r>
              <w:rPr>
                <w:rFonts w:hint="default" w:ascii="Times New Roman" w:hAnsi="Times New Roman" w:eastAsia="宋体" w:cs="Times New Roman"/>
                <w:b w:val="0"/>
                <w:color w:val="auto"/>
                <w:kern w:val="2"/>
                <w:sz w:val="24"/>
                <w:szCs w:val="24"/>
                <w:vertAlign w:val="subscript"/>
                <w:lang w:val="en-US" w:eastAsia="zh-CN" w:bidi="ar-SA"/>
              </w:rPr>
              <w:t>2</w:t>
            </w:r>
            <w:r>
              <w:rPr>
                <w:rFonts w:hint="default" w:ascii="Times New Roman" w:hAnsi="Times New Roman" w:eastAsia="宋体" w:cs="Times New Roman"/>
                <w:b w:val="0"/>
                <w:color w:val="auto"/>
                <w:kern w:val="2"/>
                <w:sz w:val="24"/>
                <w:szCs w:val="24"/>
                <w:lang w:val="en-US" w:eastAsia="zh-CN" w:bidi="ar-SA"/>
              </w:rPr>
              <w:t>S以及发酵车间恶臭执行《恶臭污染物排放标准》（GB14554-1993）表1恶臭污染物厂界标准值中二级新扩改建标准，详见下表3-</w:t>
            </w:r>
            <w:r>
              <w:rPr>
                <w:rFonts w:hint="eastAsia" w:cs="Times New Roman"/>
                <w:b w:val="0"/>
                <w:color w:val="auto"/>
                <w:kern w:val="2"/>
                <w:sz w:val="24"/>
                <w:szCs w:val="24"/>
                <w:lang w:val="en-US" w:eastAsia="zh-CN" w:bidi="ar-SA"/>
              </w:rPr>
              <w:t>6</w:t>
            </w:r>
            <w:r>
              <w:rPr>
                <w:rFonts w:hint="default" w:ascii="Times New Roman" w:hAnsi="Times New Roman" w:eastAsia="宋体" w:cs="Times New Roman"/>
                <w:color w:val="auto"/>
                <w:kern w:val="0"/>
                <w:sz w:val="24"/>
                <w:szCs w:val="20"/>
                <w:lang w:val="en-US" w:eastAsia="zh-CN" w:bidi="ar-SA"/>
              </w:rPr>
              <w:t>。</w:t>
            </w:r>
          </w:p>
          <w:p>
            <w:pPr>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食堂油烟执行</w:t>
            </w:r>
            <w:r>
              <w:rPr>
                <w:rFonts w:hint="default" w:ascii="Times New Roman" w:hAnsi="Times New Roman" w:eastAsia="宋体" w:cs="Times New Roman"/>
                <w:color w:val="auto"/>
                <w:kern w:val="0"/>
                <w:sz w:val="24"/>
                <w:szCs w:val="24"/>
                <w:highlight w:val="none"/>
                <w:lang w:val="en-US" w:eastAsia="zh-CN" w:bidi="ar"/>
              </w:rPr>
              <w:t>《饮食业油烟排放标准》（GB18483-2001）中的小型标准限值。详见表3-</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w:t>
            </w:r>
          </w:p>
          <w:p>
            <w:pPr>
              <w:adjustRightInd w:val="0"/>
              <w:snapToGrid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3-</w:t>
            </w:r>
            <w:r>
              <w:rPr>
                <w:rFonts w:hint="eastAsia" w:cs="Times New Roman"/>
                <w:b/>
                <w:bCs/>
                <w:color w:val="auto"/>
                <w:lang w:val="en-US" w:eastAsia="zh-CN"/>
              </w:rPr>
              <w:t>4</w:t>
            </w: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《大气污染物综合排放标准》（GB16297-1996）</w:t>
            </w:r>
          </w:p>
          <w:tbl>
            <w:tblPr>
              <w:tblStyle w:val="25"/>
              <w:tblW w:w="8039"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743"/>
              <w:gridCol w:w="1340"/>
              <w:gridCol w:w="1340"/>
              <w:gridCol w:w="1340"/>
              <w:gridCol w:w="13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36"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污染物</w:t>
                  </w:r>
                </w:p>
              </w:tc>
              <w:tc>
                <w:tcPr>
                  <w:tcW w:w="1743"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最高允许排放浓度（mg/m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rPr>
                    <w:t>）</w:t>
                  </w:r>
                </w:p>
              </w:tc>
              <w:tc>
                <w:tcPr>
                  <w:tcW w:w="2680"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最高允许排放速率（kg/h）</w:t>
                  </w:r>
                </w:p>
              </w:tc>
              <w:tc>
                <w:tcPr>
                  <w:tcW w:w="2680"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36"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p>
              </w:tc>
              <w:tc>
                <w:tcPr>
                  <w:tcW w:w="1743"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p>
              </w:tc>
              <w:tc>
                <w:tcPr>
                  <w:tcW w:w="134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排气筒高度</w:t>
                  </w:r>
                </w:p>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（m）</w:t>
                  </w:r>
                </w:p>
              </w:tc>
              <w:tc>
                <w:tcPr>
                  <w:tcW w:w="134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二级</w:t>
                  </w:r>
                </w:p>
              </w:tc>
              <w:tc>
                <w:tcPr>
                  <w:tcW w:w="134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监控点</w:t>
                  </w:r>
                </w:p>
              </w:tc>
              <w:tc>
                <w:tcPr>
                  <w:tcW w:w="134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浓度（mg/m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3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颗粒物</w:t>
                  </w:r>
                </w:p>
              </w:tc>
              <w:tc>
                <w:tcPr>
                  <w:tcW w:w="174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120</w:t>
                  </w:r>
                </w:p>
              </w:tc>
              <w:tc>
                <w:tcPr>
                  <w:tcW w:w="134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w:t>
                  </w:r>
                </w:p>
              </w:tc>
              <w:tc>
                <w:tcPr>
                  <w:tcW w:w="134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3.5</w:t>
                  </w:r>
                </w:p>
              </w:tc>
              <w:tc>
                <w:tcPr>
                  <w:tcW w:w="134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周界外浓度</w:t>
                  </w:r>
                </w:p>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最高点</w:t>
                  </w:r>
                </w:p>
              </w:tc>
              <w:tc>
                <w:tcPr>
                  <w:tcW w:w="134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w:t>
                  </w:r>
                </w:p>
              </w:tc>
            </w:tr>
          </w:tbl>
          <w:p>
            <w:pPr>
              <w:widowControl w:val="0"/>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表3-</w:t>
            </w:r>
            <w:r>
              <w:rPr>
                <w:rFonts w:hint="eastAsia" w:cs="Times New Roman"/>
                <w:b/>
                <w:bCs/>
                <w:color w:val="auto"/>
                <w:kern w:val="0"/>
                <w:sz w:val="24"/>
                <w:szCs w:val="24"/>
                <w:lang w:val="en-US" w:eastAsia="zh-CN" w:bidi="ar"/>
              </w:rPr>
              <w:t>5</w:t>
            </w:r>
            <w:r>
              <w:rPr>
                <w:rFonts w:hint="default" w:ascii="Times New Roman" w:hAnsi="Times New Roman" w:eastAsia="宋体" w:cs="Times New Roman"/>
                <w:b/>
                <w:bCs/>
                <w:color w:val="auto"/>
                <w:kern w:val="0"/>
                <w:sz w:val="24"/>
                <w:szCs w:val="24"/>
                <w:lang w:val="en-US" w:eastAsia="zh-CN" w:bidi="ar"/>
              </w:rPr>
              <w:t xml:space="preserve"> </w:t>
            </w:r>
            <w:r>
              <w:rPr>
                <w:rFonts w:hint="default" w:ascii="Times New Roman" w:hAnsi="Times New Roman" w:eastAsia="宋体" w:cs="Times New Roman"/>
                <w:b/>
                <w:bCs/>
                <w:color w:val="auto"/>
              </w:rPr>
              <w:t>《锅炉大气污染物排放标</w:t>
            </w:r>
            <w:r>
              <w:rPr>
                <w:rFonts w:hint="default" w:ascii="Times New Roman" w:hAnsi="Times New Roman" w:eastAsia="宋体" w:cs="Times New Roman"/>
                <w:b/>
                <w:bCs/>
                <w:color w:val="auto"/>
                <w:lang w:val="en-US" w:eastAsia="zh-CN"/>
              </w:rPr>
              <w:t>锅炉准》（GB13271-2014）</w:t>
            </w:r>
          </w:p>
          <w:tbl>
            <w:tblPr>
              <w:tblStyle w:val="25"/>
              <w:tblW w:w="8039"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79"/>
              <w:gridCol w:w="2680"/>
              <w:gridCol w:w="26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679"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污染物项目</w:t>
                  </w:r>
                </w:p>
              </w:tc>
              <w:tc>
                <w:tcPr>
                  <w:tcW w:w="2680"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限值（燃气锅炉）</w:t>
                  </w:r>
                </w:p>
              </w:tc>
              <w:tc>
                <w:tcPr>
                  <w:tcW w:w="2680"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污染物排放监控位置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679"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w:t>
                  </w:r>
                </w:p>
              </w:tc>
              <w:tc>
                <w:tcPr>
                  <w:tcW w:w="2680" w:type="dxa"/>
                  <w:vAlign w:val="center"/>
                </w:tcPr>
                <w:p>
                  <w:pPr>
                    <w:widowControl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20</w:t>
                  </w:r>
                  <w:r>
                    <w:rPr>
                      <w:rFonts w:hint="default" w:ascii="Times New Roman" w:hAnsi="Times New Roman" w:eastAsia="宋体" w:cs="Times New Roman"/>
                      <w:b w:val="0"/>
                      <w:bCs w:val="0"/>
                      <w:color w:val="auto"/>
                      <w:kern w:val="0"/>
                      <w:sz w:val="24"/>
                      <w:szCs w:val="24"/>
                      <w:lang w:val="en-US" w:eastAsia="zh-CN" w:bidi="ar"/>
                    </w:rPr>
                    <w:t>mg/m</w:t>
                  </w:r>
                  <w:r>
                    <w:rPr>
                      <w:rFonts w:hint="default" w:ascii="Times New Roman" w:hAnsi="Times New Roman" w:eastAsia="宋体" w:cs="Times New Roman"/>
                      <w:b w:val="0"/>
                      <w:bCs w:val="0"/>
                      <w:color w:val="auto"/>
                      <w:kern w:val="0"/>
                      <w:sz w:val="24"/>
                      <w:szCs w:val="24"/>
                      <w:vertAlign w:val="superscript"/>
                      <w:lang w:val="en-US" w:eastAsia="zh-CN" w:bidi="ar"/>
                    </w:rPr>
                    <w:t>3</w:t>
                  </w:r>
                </w:p>
              </w:tc>
              <w:tc>
                <w:tcPr>
                  <w:tcW w:w="2680" w:type="dxa"/>
                  <w:vMerge w:val="restart"/>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烟囱或烟道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679"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二氧化硫</w:t>
                  </w:r>
                </w:p>
              </w:tc>
              <w:tc>
                <w:tcPr>
                  <w:tcW w:w="2680" w:type="dxa"/>
                  <w:vAlign w:val="center"/>
                </w:tcPr>
                <w:p>
                  <w:pPr>
                    <w:pStyle w:val="32"/>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50</w:t>
                  </w:r>
                  <w:r>
                    <w:rPr>
                      <w:rFonts w:hint="default" w:ascii="Times New Roman" w:hAnsi="Times New Roman" w:eastAsia="宋体" w:cs="Times New Roman"/>
                      <w:b w:val="0"/>
                      <w:bCs w:val="0"/>
                      <w:color w:val="auto"/>
                      <w:kern w:val="0"/>
                      <w:sz w:val="24"/>
                      <w:szCs w:val="24"/>
                      <w:lang w:val="en-US" w:eastAsia="zh-CN" w:bidi="ar"/>
                    </w:rPr>
                    <w:t>mg/m</w:t>
                  </w:r>
                  <w:r>
                    <w:rPr>
                      <w:rFonts w:hint="default" w:ascii="Times New Roman" w:hAnsi="Times New Roman" w:eastAsia="宋体" w:cs="Times New Roman"/>
                      <w:b w:val="0"/>
                      <w:bCs w:val="0"/>
                      <w:color w:val="auto"/>
                      <w:kern w:val="0"/>
                      <w:sz w:val="24"/>
                      <w:szCs w:val="24"/>
                      <w:vertAlign w:val="superscript"/>
                      <w:lang w:val="en-US" w:eastAsia="zh-CN" w:bidi="ar"/>
                    </w:rPr>
                    <w:t>3</w:t>
                  </w:r>
                </w:p>
              </w:tc>
              <w:tc>
                <w:tcPr>
                  <w:tcW w:w="2680" w:type="dxa"/>
                  <w:vMerge w:val="continue"/>
                  <w:vAlign w:val="center"/>
                </w:tcPr>
                <w:p>
                  <w:pPr>
                    <w:pStyle w:val="32"/>
                    <w:bidi w:val="0"/>
                    <w:rPr>
                      <w:rFonts w:hint="default" w:ascii="Times New Roman" w:hAnsi="Times New Roman" w:eastAsia="宋体" w:cs="Times New Roman"/>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679"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氮氧化物</w:t>
                  </w:r>
                </w:p>
              </w:tc>
              <w:tc>
                <w:tcPr>
                  <w:tcW w:w="2680" w:type="dxa"/>
                  <w:vAlign w:val="center"/>
                </w:tcPr>
                <w:p>
                  <w:pPr>
                    <w:pStyle w:val="32"/>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200</w:t>
                  </w:r>
                  <w:r>
                    <w:rPr>
                      <w:rFonts w:hint="default" w:ascii="Times New Roman" w:hAnsi="Times New Roman" w:eastAsia="宋体" w:cs="Times New Roman"/>
                      <w:b w:val="0"/>
                      <w:bCs w:val="0"/>
                      <w:color w:val="auto"/>
                      <w:kern w:val="0"/>
                      <w:sz w:val="24"/>
                      <w:szCs w:val="24"/>
                      <w:lang w:val="en-US" w:eastAsia="zh-CN" w:bidi="ar"/>
                    </w:rPr>
                    <w:t>mg/m</w:t>
                  </w:r>
                  <w:r>
                    <w:rPr>
                      <w:rFonts w:hint="default" w:ascii="Times New Roman" w:hAnsi="Times New Roman" w:eastAsia="宋体" w:cs="Times New Roman"/>
                      <w:b w:val="0"/>
                      <w:bCs w:val="0"/>
                      <w:color w:val="auto"/>
                      <w:kern w:val="0"/>
                      <w:sz w:val="24"/>
                      <w:szCs w:val="24"/>
                      <w:vertAlign w:val="superscript"/>
                      <w:lang w:val="en-US" w:eastAsia="zh-CN" w:bidi="ar"/>
                    </w:rPr>
                    <w:t>3</w:t>
                  </w:r>
                </w:p>
              </w:tc>
              <w:tc>
                <w:tcPr>
                  <w:tcW w:w="2680" w:type="dxa"/>
                  <w:vMerge w:val="continue"/>
                  <w:vAlign w:val="center"/>
                </w:tcPr>
                <w:p>
                  <w:pPr>
                    <w:pStyle w:val="32"/>
                    <w:bidi w:val="0"/>
                    <w:rPr>
                      <w:rFonts w:hint="default" w:ascii="Times New Roman" w:hAnsi="Times New Roman" w:eastAsia="宋体" w:cs="Times New Roman"/>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679"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林格曼黑度</w:t>
                  </w:r>
                </w:p>
              </w:tc>
              <w:tc>
                <w:tcPr>
                  <w:tcW w:w="2680" w:type="dxa"/>
                  <w:vAlign w:val="center"/>
                </w:tcPr>
                <w:p>
                  <w:pPr>
                    <w:pStyle w:val="32"/>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≤1级</w:t>
                  </w:r>
                </w:p>
              </w:tc>
              <w:tc>
                <w:tcPr>
                  <w:tcW w:w="2680"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烟囱排放口</w:t>
                  </w:r>
                </w:p>
              </w:tc>
            </w:tr>
          </w:tbl>
          <w:p>
            <w:pPr>
              <w:widowControl w:val="0"/>
              <w:jc w:val="center"/>
              <w:rPr>
                <w:rFonts w:hint="default" w:ascii="Times New Roman" w:hAnsi="Times New Roman" w:eastAsia="宋体" w:cs="Times New Roman"/>
                <w:b/>
                <w:bCs/>
                <w:color w:val="auto"/>
                <w:kern w:val="0"/>
                <w:sz w:val="24"/>
                <w:szCs w:val="24"/>
                <w:lang w:val="en-US" w:eastAsia="zh-CN" w:bidi="ar"/>
              </w:rPr>
            </w:pPr>
          </w:p>
          <w:p>
            <w:pPr>
              <w:widowControl w:val="0"/>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表3-</w:t>
            </w:r>
            <w:r>
              <w:rPr>
                <w:rFonts w:hint="eastAsia" w:cs="Times New Roman"/>
                <w:b/>
                <w:bCs/>
                <w:color w:val="auto"/>
                <w:kern w:val="0"/>
                <w:sz w:val="24"/>
                <w:szCs w:val="24"/>
                <w:lang w:val="en-US" w:eastAsia="zh-CN" w:bidi="ar"/>
              </w:rPr>
              <w:t>6</w:t>
            </w:r>
            <w:r>
              <w:rPr>
                <w:rFonts w:hint="default" w:ascii="Times New Roman" w:hAnsi="Times New Roman" w:eastAsia="宋体" w:cs="Times New Roman"/>
                <w:b/>
                <w:bCs/>
                <w:color w:val="auto"/>
                <w:kern w:val="0"/>
                <w:sz w:val="24"/>
                <w:szCs w:val="24"/>
                <w:lang w:val="en-US" w:eastAsia="zh-CN" w:bidi="ar"/>
              </w:rPr>
              <w:t xml:space="preserve">  《恶臭污染物排放标准》（GB14554-1993）</w:t>
            </w:r>
          </w:p>
          <w:tbl>
            <w:tblPr>
              <w:tblStyle w:val="25"/>
              <w:tblW w:w="8039"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79"/>
              <w:gridCol w:w="2680"/>
              <w:gridCol w:w="26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679"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控制项目</w:t>
                  </w:r>
                </w:p>
              </w:tc>
              <w:tc>
                <w:tcPr>
                  <w:tcW w:w="2680"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标准值</w:t>
                  </w:r>
                </w:p>
              </w:tc>
              <w:tc>
                <w:tcPr>
                  <w:tcW w:w="2680"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679"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臭气浓度</w:t>
                  </w:r>
                </w:p>
              </w:tc>
              <w:tc>
                <w:tcPr>
                  <w:tcW w:w="2680"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20（无量纲）</w:t>
                  </w:r>
                </w:p>
              </w:tc>
              <w:tc>
                <w:tcPr>
                  <w:tcW w:w="2680" w:type="dxa"/>
                  <w:vMerge w:val="restart"/>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恶臭污染物排放标准》（GB14554-1993）</w:t>
                  </w:r>
                </w:p>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表1中厂界标准值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679"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b w:val="0"/>
                      <w:color w:val="auto"/>
                      <w:kern w:val="2"/>
                      <w:sz w:val="24"/>
                      <w:szCs w:val="24"/>
                      <w:lang w:val="en-US" w:eastAsia="zh-CN" w:bidi="ar-SA"/>
                    </w:rPr>
                    <w:t>NH</w:t>
                  </w:r>
                  <w:r>
                    <w:rPr>
                      <w:rFonts w:hint="default" w:ascii="Times New Roman" w:hAnsi="Times New Roman" w:eastAsia="宋体" w:cs="Times New Roman"/>
                      <w:b w:val="0"/>
                      <w:color w:val="auto"/>
                      <w:kern w:val="2"/>
                      <w:sz w:val="24"/>
                      <w:szCs w:val="24"/>
                      <w:vertAlign w:val="subscript"/>
                      <w:lang w:val="en-US" w:eastAsia="zh-CN" w:bidi="ar-SA"/>
                    </w:rPr>
                    <w:t>3</w:t>
                  </w:r>
                </w:p>
              </w:tc>
              <w:tc>
                <w:tcPr>
                  <w:tcW w:w="2680" w:type="dxa"/>
                  <w:vAlign w:val="center"/>
                </w:tcPr>
                <w:p>
                  <w:pPr>
                    <w:adjustRightInd w:val="0"/>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2680" w:type="dxa"/>
                  <w:vMerge w:val="continue"/>
                  <w:vAlign w:val="center"/>
                </w:tcPr>
                <w:p>
                  <w:pPr>
                    <w:pStyle w:val="32"/>
                    <w:bidi w:val="0"/>
                    <w:rPr>
                      <w:rFonts w:hint="default" w:ascii="Times New Roman" w:hAnsi="Times New Roman" w:eastAsia="宋体" w:cs="Times New Roman"/>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679" w:type="dxa"/>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b w:val="0"/>
                      <w:color w:val="auto"/>
                      <w:kern w:val="2"/>
                      <w:sz w:val="24"/>
                      <w:szCs w:val="24"/>
                      <w:lang w:val="en-US" w:eastAsia="zh-CN" w:bidi="ar-SA"/>
                    </w:rPr>
                    <w:t>H</w:t>
                  </w:r>
                  <w:r>
                    <w:rPr>
                      <w:rFonts w:hint="default" w:ascii="Times New Roman" w:hAnsi="Times New Roman" w:eastAsia="宋体" w:cs="Times New Roman"/>
                      <w:b w:val="0"/>
                      <w:color w:val="auto"/>
                      <w:kern w:val="2"/>
                      <w:sz w:val="24"/>
                      <w:szCs w:val="24"/>
                      <w:vertAlign w:val="subscript"/>
                      <w:lang w:val="en-US" w:eastAsia="zh-CN" w:bidi="ar-SA"/>
                    </w:rPr>
                    <w:t>2</w:t>
                  </w:r>
                  <w:r>
                    <w:rPr>
                      <w:rFonts w:hint="default" w:ascii="Times New Roman" w:hAnsi="Times New Roman" w:eastAsia="宋体" w:cs="Times New Roman"/>
                      <w:b w:val="0"/>
                      <w:color w:val="auto"/>
                      <w:kern w:val="2"/>
                      <w:sz w:val="24"/>
                      <w:szCs w:val="24"/>
                      <w:lang w:val="en-US" w:eastAsia="zh-CN" w:bidi="ar-SA"/>
                    </w:rPr>
                    <w:t>S</w:t>
                  </w:r>
                </w:p>
              </w:tc>
              <w:tc>
                <w:tcPr>
                  <w:tcW w:w="2680" w:type="dxa"/>
                  <w:vAlign w:val="center"/>
                </w:tcPr>
                <w:p>
                  <w:pPr>
                    <w:adjustRightInd w:val="0"/>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2680" w:type="dxa"/>
                  <w:vMerge w:val="continue"/>
                  <w:vAlign w:val="center"/>
                </w:tcPr>
                <w:p>
                  <w:pPr>
                    <w:pStyle w:val="32"/>
                    <w:bidi w:val="0"/>
                    <w:rPr>
                      <w:rFonts w:hint="default" w:ascii="Times New Roman" w:hAnsi="Times New Roman" w:eastAsia="宋体" w:cs="Times New Roman"/>
                      <w:color w:val="auto"/>
                      <w:lang w:val="en-US" w:eastAsia="zh-CN"/>
                    </w:rPr>
                  </w:pPr>
                </w:p>
              </w:tc>
            </w:tr>
          </w:tbl>
          <w:p>
            <w:pPr>
              <w:widowControl w:val="0"/>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表3-</w:t>
            </w:r>
            <w:r>
              <w:rPr>
                <w:rFonts w:hint="eastAsia" w:cs="Times New Roman"/>
                <w:b/>
                <w:bCs/>
                <w:color w:val="auto"/>
                <w:kern w:val="0"/>
                <w:sz w:val="24"/>
                <w:szCs w:val="24"/>
                <w:lang w:val="en-US" w:eastAsia="zh-CN" w:bidi="ar"/>
              </w:rPr>
              <w:t>7</w:t>
            </w:r>
            <w:r>
              <w:rPr>
                <w:rFonts w:hint="default" w:ascii="Times New Roman" w:hAnsi="Times New Roman" w:eastAsia="宋体" w:cs="Times New Roman"/>
                <w:b/>
                <w:bCs/>
                <w:color w:val="auto"/>
                <w:kern w:val="0"/>
                <w:sz w:val="24"/>
                <w:szCs w:val="24"/>
                <w:lang w:val="en-US" w:eastAsia="zh-CN" w:bidi="ar"/>
              </w:rPr>
              <w:t xml:space="preserve">  《饮食业油烟排放标准  试行》（GB18483-2001）</w:t>
            </w:r>
          </w:p>
          <w:tbl>
            <w:tblPr>
              <w:tblStyle w:val="24"/>
              <w:tblW w:w="8039"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1693"/>
              <w:gridCol w:w="1573"/>
              <w:gridCol w:w="18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46" w:type="dxa"/>
                  <w:noWrap w:val="0"/>
                  <w:vAlign w:val="center"/>
                </w:tcPr>
                <w:p>
                  <w:pPr>
                    <w:widowControl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规模</w:t>
                  </w:r>
                </w:p>
              </w:tc>
              <w:tc>
                <w:tcPr>
                  <w:tcW w:w="1693" w:type="dxa"/>
                  <w:noWrap w:val="0"/>
                  <w:vAlign w:val="center"/>
                </w:tcPr>
                <w:p>
                  <w:pPr>
                    <w:widowControl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小型</w:t>
                  </w:r>
                </w:p>
              </w:tc>
              <w:tc>
                <w:tcPr>
                  <w:tcW w:w="1573" w:type="dxa"/>
                  <w:noWrap w:val="0"/>
                  <w:vAlign w:val="center"/>
                </w:tcPr>
                <w:p>
                  <w:pPr>
                    <w:widowControl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中型</w:t>
                  </w:r>
                </w:p>
              </w:tc>
              <w:tc>
                <w:tcPr>
                  <w:tcW w:w="1827" w:type="dxa"/>
                  <w:noWrap w:val="0"/>
                  <w:vAlign w:val="center"/>
                </w:tcPr>
                <w:p>
                  <w:pPr>
                    <w:widowControl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大型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46" w:type="dxa"/>
                  <w:noWrap w:val="0"/>
                  <w:vAlign w:val="center"/>
                </w:tcPr>
                <w:p>
                  <w:pPr>
                    <w:widowControl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最高允许排放浓度（mg/m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c>
                <w:tcPr>
                  <w:tcW w:w="5093" w:type="dxa"/>
                  <w:gridSpan w:val="3"/>
                  <w:noWrap w:val="0"/>
                  <w:vAlign w:val="center"/>
                </w:tcPr>
                <w:p>
                  <w:pPr>
                    <w:widowControl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46" w:type="dxa"/>
                  <w:noWrap w:val="0"/>
                  <w:vAlign w:val="center"/>
                </w:tcPr>
                <w:p>
                  <w:pPr>
                    <w:widowControl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净化设施最低去除效率（%）</w:t>
                  </w:r>
                </w:p>
              </w:tc>
              <w:tc>
                <w:tcPr>
                  <w:tcW w:w="1693" w:type="dxa"/>
                  <w:noWrap w:val="0"/>
                  <w:vAlign w:val="center"/>
                </w:tcPr>
                <w:p>
                  <w:pPr>
                    <w:widowControl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60</w:t>
                  </w:r>
                </w:p>
              </w:tc>
              <w:tc>
                <w:tcPr>
                  <w:tcW w:w="1573" w:type="dxa"/>
                  <w:noWrap w:val="0"/>
                  <w:vAlign w:val="center"/>
                </w:tcPr>
                <w:p>
                  <w:pPr>
                    <w:widowControl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75</w:t>
                  </w:r>
                </w:p>
              </w:tc>
              <w:tc>
                <w:tcPr>
                  <w:tcW w:w="1827" w:type="dxa"/>
                  <w:noWrap w:val="0"/>
                  <w:vAlign w:val="center"/>
                </w:tcPr>
                <w:p>
                  <w:pPr>
                    <w:widowControl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85</w:t>
                  </w:r>
                </w:p>
              </w:tc>
            </w:tr>
          </w:tbl>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2、废水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锅炉定期排污水、纯水设备浓水经降温沉淀池处理排入</w:t>
            </w:r>
            <w:r>
              <w:rPr>
                <w:rFonts w:hint="eastAsia" w:cs="Times New Roman"/>
                <w:color w:val="auto"/>
                <w:lang w:val="en-US" w:eastAsia="zh-CN"/>
              </w:rPr>
              <w:t>园区雨水</w:t>
            </w:r>
            <w:r>
              <w:rPr>
                <w:rFonts w:hint="default" w:ascii="Times New Roman" w:hAnsi="Times New Roman" w:eastAsia="宋体" w:cs="Times New Roman"/>
                <w:color w:val="auto"/>
                <w:lang w:val="en-US" w:eastAsia="zh-CN"/>
              </w:rPr>
              <w:t>管网；生产废水经地埋一体式污水处理设备处理后排入园区污水管网，最终进入和政县污水处理厂处理。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食堂废水经油水分离器预处理后同生活污水排入化粪池处理，</w:t>
            </w:r>
            <w:r>
              <w:rPr>
                <w:rFonts w:hint="default" w:ascii="Times New Roman" w:hAnsi="Times New Roman" w:eastAsia="宋体" w:cs="Times New Roman"/>
                <w:color w:val="auto"/>
                <w:lang w:val="en-US" w:eastAsia="zh-CN"/>
              </w:rPr>
              <w:t>处理后的污水排入</w:t>
            </w:r>
            <w:r>
              <w:rPr>
                <w:rFonts w:hint="eastAsia" w:cs="Times New Roman"/>
                <w:color w:val="auto"/>
                <w:lang w:val="en-US" w:eastAsia="zh-CN"/>
              </w:rPr>
              <w:t>园区污水</w:t>
            </w:r>
            <w:r>
              <w:rPr>
                <w:rFonts w:hint="default" w:ascii="Times New Roman" w:hAnsi="Times New Roman" w:eastAsia="宋体" w:cs="Times New Roman"/>
                <w:color w:val="auto"/>
                <w:lang w:val="en-US" w:eastAsia="zh-CN"/>
              </w:rPr>
              <w:t>管网，最终进入和政县污水处理厂处理</w:t>
            </w:r>
            <w:r>
              <w:rPr>
                <w:rFonts w:hint="default" w:ascii="Times New Roman" w:hAnsi="Times New Roman" w:eastAsia="宋体" w:cs="Times New Roman"/>
                <w:color w:val="auto"/>
              </w:rPr>
              <w:t>。废水排放执行《污水综合排放标准》（GB8978-1996）三级标准。</w:t>
            </w:r>
          </w:p>
          <w:p>
            <w:pPr>
              <w:adjustRightInd w:val="0"/>
              <w:snapToGrid w:val="0"/>
              <w:spacing w:line="360" w:lineRule="auto"/>
              <w:jc w:val="center"/>
              <w:rPr>
                <w:rFonts w:hint="default" w:ascii="Times New Roman" w:hAnsi="Times New Roman" w:eastAsia="宋体" w:cs="Times New Roman"/>
                <w:b/>
                <w:color w:val="auto"/>
                <w:spacing w:val="-2"/>
                <w:sz w:val="24"/>
                <w:highlight w:val="none"/>
              </w:rPr>
            </w:pPr>
            <w:r>
              <w:rPr>
                <w:rFonts w:hint="default" w:ascii="Times New Roman" w:hAnsi="Times New Roman" w:eastAsia="宋体" w:cs="Times New Roman"/>
                <w:b/>
                <w:color w:val="auto"/>
                <w:spacing w:val="-2"/>
                <w:sz w:val="24"/>
                <w:highlight w:val="none"/>
              </w:rPr>
              <w:t>表3-</w:t>
            </w:r>
            <w:r>
              <w:rPr>
                <w:rFonts w:hint="eastAsia" w:cs="Times New Roman"/>
                <w:b/>
                <w:color w:val="auto"/>
                <w:spacing w:val="-2"/>
                <w:sz w:val="24"/>
                <w:highlight w:val="none"/>
                <w:lang w:val="en-US" w:eastAsia="zh-CN"/>
              </w:rPr>
              <w:t>8</w:t>
            </w:r>
            <w:r>
              <w:rPr>
                <w:rFonts w:hint="default" w:ascii="Times New Roman" w:hAnsi="Times New Roman" w:eastAsia="宋体" w:cs="Times New Roman"/>
                <w:b/>
                <w:color w:val="auto"/>
                <w:spacing w:val="-2"/>
                <w:sz w:val="24"/>
                <w:highlight w:val="none"/>
              </w:rPr>
              <w:t xml:space="preserve">  </w:t>
            </w:r>
            <w:r>
              <w:rPr>
                <w:rFonts w:hint="default" w:ascii="Times New Roman" w:hAnsi="Times New Roman" w:eastAsia="宋体" w:cs="Times New Roman"/>
                <w:b/>
                <w:color w:val="auto"/>
                <w:sz w:val="24"/>
                <w:highlight w:val="none"/>
              </w:rPr>
              <w:t xml:space="preserve">《污水综合排放标准》（GB8978-1996）三级标准  </w:t>
            </w:r>
            <w:r>
              <w:rPr>
                <w:rFonts w:hint="default" w:ascii="Times New Roman" w:hAnsi="Times New Roman" w:eastAsia="宋体" w:cs="Times New Roman"/>
                <w:b/>
                <w:color w:val="auto"/>
                <w:spacing w:val="-2"/>
                <w:sz w:val="24"/>
                <w:highlight w:val="none"/>
              </w:rPr>
              <w:t>单位：mg/L</w:t>
            </w:r>
          </w:p>
          <w:tbl>
            <w:tblPr>
              <w:tblStyle w:val="24"/>
              <w:tblW w:w="8039"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860"/>
              <w:gridCol w:w="817"/>
              <w:gridCol w:w="726"/>
              <w:gridCol w:w="950"/>
              <w:gridCol w:w="716"/>
              <w:gridCol w:w="707"/>
              <w:gridCol w:w="701"/>
              <w:gridCol w:w="699"/>
              <w:gridCol w:w="6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blHeader/>
                <w:jc w:val="center"/>
              </w:trPr>
              <w:tc>
                <w:tcPr>
                  <w:tcW w:w="1164"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水质指标</w:t>
                  </w:r>
                </w:p>
              </w:tc>
              <w:tc>
                <w:tcPr>
                  <w:tcW w:w="860"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COD</w:t>
                  </w:r>
                  <w:r>
                    <w:rPr>
                      <w:rFonts w:hint="default" w:ascii="Times New Roman" w:hAnsi="Times New Roman" w:eastAsia="宋体" w:cs="Times New Roman"/>
                      <w:bCs/>
                      <w:color w:val="auto"/>
                      <w:sz w:val="21"/>
                      <w:szCs w:val="21"/>
                      <w:vertAlign w:val="subscript"/>
                    </w:rPr>
                    <w:t>cr</w:t>
                  </w:r>
                </w:p>
              </w:tc>
              <w:tc>
                <w:tcPr>
                  <w:tcW w:w="817"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BOD</w:t>
                  </w:r>
                  <w:r>
                    <w:rPr>
                      <w:rFonts w:hint="default" w:ascii="Times New Roman" w:hAnsi="Times New Roman" w:eastAsia="宋体" w:cs="Times New Roman"/>
                      <w:bCs/>
                      <w:color w:val="auto"/>
                      <w:sz w:val="21"/>
                      <w:szCs w:val="21"/>
                      <w:vertAlign w:val="subscript"/>
                    </w:rPr>
                    <w:t>5</w:t>
                  </w:r>
                </w:p>
              </w:tc>
              <w:tc>
                <w:tcPr>
                  <w:tcW w:w="726"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SS</w:t>
                  </w:r>
                </w:p>
              </w:tc>
              <w:tc>
                <w:tcPr>
                  <w:tcW w:w="950"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pH值</w:t>
                  </w:r>
                </w:p>
              </w:tc>
              <w:tc>
                <w:tcPr>
                  <w:tcW w:w="716"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氨氮</w:t>
                  </w:r>
                </w:p>
              </w:tc>
              <w:tc>
                <w:tcPr>
                  <w:tcW w:w="707"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动植物油</w:t>
                  </w:r>
                </w:p>
              </w:tc>
              <w:tc>
                <w:tcPr>
                  <w:tcW w:w="701"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PH</w:t>
                  </w:r>
                </w:p>
              </w:tc>
              <w:tc>
                <w:tcPr>
                  <w:tcW w:w="699" w:type="dxa"/>
                  <w:noWrap w:val="0"/>
                  <w:vAlign w:val="center"/>
                </w:tcPr>
                <w:p>
                  <w:pPr>
                    <w:adjustRightInd w:val="0"/>
                    <w:snapToGrid w:val="0"/>
                    <w:spacing w:line="240" w:lineRule="auto"/>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总磷</w:t>
                  </w:r>
                </w:p>
              </w:tc>
              <w:tc>
                <w:tcPr>
                  <w:tcW w:w="699" w:type="dxa"/>
                  <w:noWrap w:val="0"/>
                  <w:vAlign w:val="center"/>
                </w:tcPr>
                <w:p>
                  <w:pPr>
                    <w:adjustRightInd w:val="0"/>
                    <w:snapToGrid w:val="0"/>
                    <w:spacing w:line="240" w:lineRule="auto"/>
                    <w:jc w:val="center"/>
                    <w:rPr>
                      <w:rFonts w:hint="default" w:cs="Times New Roman"/>
                      <w:bCs/>
                      <w:color w:val="auto"/>
                      <w:sz w:val="21"/>
                      <w:szCs w:val="21"/>
                      <w:lang w:val="en-US" w:eastAsia="zh-CN"/>
                    </w:rPr>
                  </w:pPr>
                  <w:r>
                    <w:rPr>
                      <w:rFonts w:hint="eastAsia" w:cs="Times New Roman"/>
                      <w:bCs/>
                      <w:color w:val="auto"/>
                      <w:sz w:val="21"/>
                      <w:szCs w:val="21"/>
                      <w:lang w:val="en-US" w:eastAsia="zh-CN"/>
                    </w:rPr>
                    <w:t>总氮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164"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标准限值</w:t>
                  </w:r>
                </w:p>
              </w:tc>
              <w:tc>
                <w:tcPr>
                  <w:tcW w:w="860"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500</w:t>
                  </w:r>
                </w:p>
              </w:tc>
              <w:tc>
                <w:tcPr>
                  <w:tcW w:w="817"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300</w:t>
                  </w:r>
                </w:p>
              </w:tc>
              <w:tc>
                <w:tcPr>
                  <w:tcW w:w="726"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400</w:t>
                  </w:r>
                </w:p>
              </w:tc>
              <w:tc>
                <w:tcPr>
                  <w:tcW w:w="950"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6.5~9.5</w:t>
                  </w:r>
                </w:p>
              </w:tc>
              <w:tc>
                <w:tcPr>
                  <w:tcW w:w="716"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707"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100</w:t>
                  </w:r>
                </w:p>
              </w:tc>
              <w:tc>
                <w:tcPr>
                  <w:tcW w:w="701"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6~9</w:t>
                  </w:r>
                </w:p>
              </w:tc>
              <w:tc>
                <w:tcPr>
                  <w:tcW w:w="699" w:type="dxa"/>
                  <w:noWrap w:val="0"/>
                  <w:vAlign w:val="center"/>
                </w:tcPr>
                <w:p>
                  <w:pPr>
                    <w:adjustRightInd w:val="0"/>
                    <w:snapToGrid w:val="0"/>
                    <w:spacing w:line="240" w:lineRule="auto"/>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699" w:type="dxa"/>
                  <w:noWrap w:val="0"/>
                  <w:vAlign w:val="center"/>
                </w:tcPr>
                <w:p>
                  <w:pPr>
                    <w:adjustRightInd w:val="0"/>
                    <w:snapToGrid w:val="0"/>
                    <w:spacing w:line="240" w:lineRule="auto"/>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p>
              </w:tc>
            </w:tr>
          </w:tbl>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3、噪声</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⑴项目施工期噪声执行《建筑施工场界环境噪声排放标准》(GB12523-2011)，见表3-</w:t>
            </w:r>
            <w:r>
              <w:rPr>
                <w:rFonts w:hint="eastAsia" w:cs="Times New Roman"/>
                <w:color w:val="auto"/>
                <w:sz w:val="24"/>
                <w:lang w:val="en-US" w:eastAsia="zh-CN"/>
              </w:rPr>
              <w:t>9</w:t>
            </w:r>
            <w:r>
              <w:rPr>
                <w:rFonts w:hint="default" w:ascii="Times New Roman" w:hAnsi="Times New Roman" w:eastAsia="宋体" w:cs="Times New Roman"/>
                <w:color w:val="auto"/>
                <w:sz w:val="24"/>
              </w:rPr>
              <w:t>。</w:t>
            </w:r>
          </w:p>
          <w:p>
            <w:pPr>
              <w:spacing w:line="24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表3-</w:t>
            </w:r>
            <w:r>
              <w:rPr>
                <w:rFonts w:hint="eastAsia" w:cs="Times New Roman"/>
                <w:b/>
                <w:bCs/>
                <w:color w:val="auto"/>
                <w:sz w:val="24"/>
                <w:lang w:val="en-US" w:eastAsia="zh-CN"/>
              </w:rPr>
              <w:t>9</w:t>
            </w:r>
            <w:r>
              <w:rPr>
                <w:rFonts w:hint="default" w:ascii="Times New Roman" w:hAnsi="Times New Roman" w:eastAsia="宋体" w:cs="Times New Roman"/>
                <w:b/>
                <w:bCs/>
                <w:color w:val="auto"/>
                <w:sz w:val="24"/>
              </w:rPr>
              <w:t xml:space="preserve">  建筑施工场界环境噪声排放标准dB（A）</w:t>
            </w:r>
          </w:p>
          <w:tbl>
            <w:tblPr>
              <w:tblStyle w:val="24"/>
              <w:tblW w:w="7974" w:type="dxa"/>
              <w:jc w:val="center"/>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86"/>
              <w:gridCol w:w="3988"/>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10" w:hRule="atLeast"/>
                <w:jc w:val="center"/>
              </w:trPr>
              <w:tc>
                <w:tcPr>
                  <w:tcW w:w="3986" w:type="dxa"/>
                  <w:tcBorders>
                    <w:top w:val="single" w:color="auto" w:sz="6" w:space="0"/>
                    <w:left w:val="nil"/>
                    <w:bottom w:val="single" w:color="auto" w:sz="6" w:space="0"/>
                    <w:right w:val="single" w:color="auto" w:sz="6"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rPr>
                    <w:t>昼间</w:t>
                  </w:r>
                </w:p>
              </w:tc>
              <w:tc>
                <w:tcPr>
                  <w:tcW w:w="3988" w:type="dxa"/>
                  <w:tcBorders>
                    <w:top w:val="single" w:color="auto" w:sz="6" w:space="0"/>
                    <w:left w:val="single" w:color="auto" w:sz="6" w:space="0"/>
                    <w:bottom w:val="single" w:color="auto" w:sz="6" w:space="0"/>
                    <w:right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rPr>
                    <w:t>夜间</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986" w:type="dxa"/>
                  <w:tcBorders>
                    <w:top w:val="single" w:color="auto" w:sz="6" w:space="0"/>
                    <w:left w:val="nil"/>
                    <w:bottom w:val="single" w:color="auto" w:sz="6" w:space="0"/>
                    <w:right w:val="single" w:color="auto" w:sz="6"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rPr>
                    <w:t>70</w:t>
                  </w:r>
                </w:p>
              </w:tc>
              <w:tc>
                <w:tcPr>
                  <w:tcW w:w="3988" w:type="dxa"/>
                  <w:tcBorders>
                    <w:top w:val="single" w:color="auto" w:sz="6" w:space="0"/>
                    <w:left w:val="single" w:color="auto" w:sz="6" w:space="0"/>
                    <w:bottom w:val="single" w:color="auto" w:sz="6" w:space="0"/>
                    <w:right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rPr>
                    <w:t>55</w:t>
                  </w:r>
                </w:p>
              </w:tc>
            </w:tr>
          </w:tbl>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⑵运营期</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厂界噪声执行《工业企业厂界环境噪声排放标准》（GB12348—2008）中</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类区标准标准值。详见表3-</w:t>
            </w:r>
            <w:r>
              <w:rPr>
                <w:rFonts w:hint="eastAsia" w:cs="Times New Roman"/>
                <w:color w:val="auto"/>
                <w:sz w:val="24"/>
                <w:lang w:val="en-US" w:eastAsia="zh-CN"/>
              </w:rPr>
              <w:t>10</w:t>
            </w:r>
            <w:r>
              <w:rPr>
                <w:rFonts w:hint="default" w:ascii="Times New Roman" w:hAnsi="Times New Roman" w:eastAsia="宋体" w:cs="Times New Roman"/>
                <w:color w:val="auto"/>
                <w:sz w:val="24"/>
              </w:rPr>
              <w:t>。</w:t>
            </w:r>
          </w:p>
          <w:p>
            <w:pPr>
              <w:spacing w:line="24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表3-</w:t>
            </w:r>
            <w:r>
              <w:rPr>
                <w:rFonts w:hint="eastAsia" w:cs="Times New Roman"/>
                <w:b/>
                <w:bCs/>
                <w:color w:val="auto"/>
                <w:sz w:val="24"/>
                <w:lang w:val="en-US" w:eastAsia="zh-CN"/>
              </w:rPr>
              <w:t>10</w:t>
            </w:r>
            <w:r>
              <w:rPr>
                <w:rFonts w:hint="default" w:ascii="Times New Roman" w:hAnsi="Times New Roman" w:eastAsia="宋体" w:cs="Times New Roman"/>
                <w:b/>
                <w:bCs/>
                <w:color w:val="auto"/>
                <w:sz w:val="24"/>
              </w:rPr>
              <w:t xml:space="preserve">  工业企业厂界环境噪声排放标准</w:t>
            </w:r>
          </w:p>
          <w:tbl>
            <w:tblPr>
              <w:tblStyle w:val="24"/>
              <w:tblW w:w="8039" w:type="dxa"/>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34"/>
              <w:gridCol w:w="2703"/>
              <w:gridCol w:w="2702"/>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634" w:type="dxa"/>
                  <w:tcBorders>
                    <w:top w:val="single" w:color="auto" w:sz="6" w:space="0"/>
                    <w:left w:val="nil"/>
                    <w:bottom w:val="single" w:color="auto" w:sz="6" w:space="0"/>
                    <w:right w:val="single" w:color="auto" w:sz="6"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rPr>
                    <w:t>类别</w:t>
                  </w:r>
                </w:p>
              </w:tc>
              <w:tc>
                <w:tcPr>
                  <w:tcW w:w="2703" w:type="dxa"/>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rPr>
                    <w:t>昼间dB（A）</w:t>
                  </w:r>
                </w:p>
              </w:tc>
              <w:tc>
                <w:tcPr>
                  <w:tcW w:w="2702" w:type="dxa"/>
                  <w:tcBorders>
                    <w:top w:val="single" w:color="auto" w:sz="6" w:space="0"/>
                    <w:left w:val="single" w:color="auto" w:sz="6" w:space="0"/>
                    <w:bottom w:val="single" w:color="auto" w:sz="6" w:space="0"/>
                    <w:right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rPr>
                    <w:t>夜间dB（A）</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2634" w:type="dxa"/>
                  <w:tcBorders>
                    <w:top w:val="single" w:color="auto" w:sz="6" w:space="0"/>
                    <w:left w:val="nil"/>
                    <w:bottom w:val="single" w:color="auto" w:sz="6" w:space="0"/>
                    <w:right w:val="single" w:color="auto" w:sz="6"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lang w:val="en-US" w:eastAsia="zh-CN"/>
                    </w:rPr>
                    <w:t>3</w:t>
                  </w:r>
                  <w:r>
                    <w:rPr>
                      <w:rFonts w:hint="default" w:ascii="Times New Roman" w:hAnsi="Times New Roman" w:eastAsia="宋体" w:cs="Times New Roman"/>
                      <w:color w:val="auto"/>
                      <w:sz w:val="21"/>
                    </w:rPr>
                    <w:t>类</w:t>
                  </w:r>
                </w:p>
              </w:tc>
              <w:tc>
                <w:tcPr>
                  <w:tcW w:w="2703" w:type="dxa"/>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lang w:val="en-US" w:eastAsia="zh-CN"/>
                    </w:rPr>
                    <w:t>65</w:t>
                  </w:r>
                </w:p>
              </w:tc>
              <w:tc>
                <w:tcPr>
                  <w:tcW w:w="2702" w:type="dxa"/>
                  <w:tcBorders>
                    <w:top w:val="single" w:color="auto" w:sz="6" w:space="0"/>
                    <w:left w:val="single" w:color="auto" w:sz="6" w:space="0"/>
                    <w:bottom w:val="single" w:color="auto" w:sz="6" w:space="0"/>
                    <w:right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rPr>
                    <w:t>55</w:t>
                  </w:r>
                </w:p>
              </w:tc>
            </w:tr>
          </w:tbl>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4、固体废物</w:t>
            </w:r>
          </w:p>
          <w:p>
            <w:pPr>
              <w:spacing w:line="360" w:lineRule="auto"/>
              <w:ind w:firstLine="480" w:firstLineChars="20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4"/>
                <w:szCs w:val="32"/>
              </w:rPr>
              <w:t>一般固体废物执行《一般工业固体废物贮存和填埋污染控制标准》（GB18599-2020）要求</w:t>
            </w:r>
            <w:r>
              <w:rPr>
                <w:rFonts w:hint="default" w:ascii="Times New Roman" w:hAnsi="Times New Roman" w:eastAsia="宋体" w:cs="Times New Roman"/>
                <w:color w:val="auto"/>
                <w:sz w:val="24"/>
                <w:szCs w:val="32"/>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80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总量</w:t>
            </w:r>
          </w:p>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控制</w:t>
            </w:r>
          </w:p>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指标</w:t>
            </w:r>
          </w:p>
        </w:tc>
        <w:tc>
          <w:tcPr>
            <w:tcW w:w="8255" w:type="dxa"/>
            <w:noWrap w:val="0"/>
            <w:vAlign w:val="center"/>
          </w:tcPr>
          <w:p>
            <w:pPr>
              <w:bidi w:val="0"/>
              <w:ind w:firstLine="480" w:firstLineChars="200"/>
              <w:rPr>
                <w:rFonts w:hint="default"/>
                <w:color w:val="auto"/>
                <w:highlight w:val="none"/>
              </w:rPr>
            </w:pPr>
            <w:r>
              <w:rPr>
                <w:rFonts w:hint="default"/>
                <w:color w:val="auto"/>
              </w:rPr>
              <w:t>根据《甘肃省人民政府办公厅关于印发甘肃省</w:t>
            </w:r>
            <w:r>
              <w:rPr>
                <w:rFonts w:hint="eastAsia"/>
                <w:color w:val="auto"/>
                <w:lang w:eastAsia="zh-CN"/>
              </w:rPr>
              <w:t>“</w:t>
            </w:r>
            <w:r>
              <w:rPr>
                <w:rFonts w:hint="default"/>
                <w:color w:val="auto"/>
              </w:rPr>
              <w:t>十四五</w:t>
            </w:r>
            <w:r>
              <w:rPr>
                <w:rFonts w:hint="eastAsia"/>
                <w:color w:val="auto"/>
                <w:lang w:eastAsia="zh-CN"/>
              </w:rPr>
              <w:t>”</w:t>
            </w:r>
            <w:r>
              <w:rPr>
                <w:rFonts w:hint="default"/>
                <w:color w:val="auto"/>
              </w:rPr>
              <w:t>生态环境保护规划的通知》（甘政办发〔2021〕105号）</w:t>
            </w:r>
            <w:r>
              <w:rPr>
                <w:rFonts w:hint="eastAsia"/>
                <w:color w:val="auto"/>
                <w:lang w:eastAsia="zh-CN"/>
              </w:rPr>
              <w:t>，“</w:t>
            </w:r>
            <w:r>
              <w:rPr>
                <w:rFonts w:hint="default"/>
                <w:color w:val="auto"/>
              </w:rPr>
              <w:t>十四五</w:t>
            </w:r>
            <w:r>
              <w:rPr>
                <w:rFonts w:hint="eastAsia"/>
                <w:color w:val="auto"/>
                <w:lang w:eastAsia="zh-CN"/>
              </w:rPr>
              <w:t>”</w:t>
            </w:r>
            <w:r>
              <w:rPr>
                <w:rFonts w:hint="default"/>
                <w:color w:val="auto"/>
              </w:rPr>
              <w:t>期间主要对化学需氧量、氨氮、氮氧化物、挥发性有机物四种主要污染物实行排放总量控制计划管理。结合项目所处地理位置、当地环境质量现状水平以及工程污染物排放特点，依据《排污许可证申请与核发技术规范 总则》（HJ942-2018），确定本项目总量控制指标如下</w:t>
            </w:r>
            <w:r>
              <w:rPr>
                <w:rFonts w:hint="default"/>
                <w:color w:val="auto"/>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建议申请的大气总量控制指标为</w:t>
            </w:r>
            <w:r>
              <w:rPr>
                <w:rFonts w:hint="default" w:ascii="Times New Roman" w:hAnsi="Times New Roman" w:eastAsia="宋体" w:cs="Times New Roman"/>
                <w:snapToGrid w:val="0"/>
                <w:color w:val="auto"/>
                <w:kern w:val="0"/>
                <w:sz w:val="24"/>
                <w:highlight w:val="none"/>
              </w:rPr>
              <w:t>NOx：</w:t>
            </w:r>
            <w:r>
              <w:rPr>
                <w:rFonts w:hint="default" w:ascii="Times New Roman" w:hAnsi="Times New Roman" w:eastAsia="宋体" w:cs="Times New Roman"/>
                <w:snapToGrid w:val="0"/>
                <w:color w:val="auto"/>
                <w:kern w:val="0"/>
                <w:sz w:val="24"/>
                <w:highlight w:val="none"/>
                <w:lang w:val="en-US" w:eastAsia="zh-CN"/>
              </w:rPr>
              <w:t>0.</w:t>
            </w:r>
            <w:r>
              <w:rPr>
                <w:rFonts w:hint="eastAsia" w:cs="Times New Roman"/>
                <w:snapToGrid w:val="0"/>
                <w:color w:val="auto"/>
                <w:kern w:val="0"/>
                <w:sz w:val="24"/>
                <w:highlight w:val="none"/>
                <w:lang w:val="en-US" w:eastAsia="zh-CN"/>
              </w:rPr>
              <w:t>27</w:t>
            </w:r>
            <w:r>
              <w:rPr>
                <w:rFonts w:hint="default" w:ascii="Times New Roman" w:hAnsi="Times New Roman" w:eastAsia="宋体" w:cs="Times New Roman"/>
                <w:snapToGrid w:val="0"/>
                <w:color w:val="auto"/>
                <w:kern w:val="0"/>
                <w:sz w:val="24"/>
                <w:highlight w:val="none"/>
              </w:rPr>
              <w:t>t/a</w:t>
            </w:r>
            <w:r>
              <w:rPr>
                <w:rFonts w:hint="default" w:ascii="Times New Roman" w:hAnsi="Times New Roman" w:eastAsia="宋体" w:cs="Times New Roman"/>
                <w:snapToGrid w:val="0"/>
                <w:color w:val="auto"/>
                <w:kern w:val="0"/>
                <w:sz w:val="24"/>
                <w:highlight w:val="none"/>
                <w:lang w:eastAsia="zh-CN"/>
              </w:rPr>
              <w:t>。</w:t>
            </w:r>
          </w:p>
          <w:p>
            <w:pPr>
              <w:widowControl w:val="0"/>
              <w:jc w:val="both"/>
              <w:rPr>
                <w:rFonts w:hint="default" w:ascii="Times New Roman" w:hAnsi="Times New Roman" w:eastAsia="宋体" w:cs="Times New Roman"/>
                <w:color w:val="auto"/>
                <w:kern w:val="2"/>
                <w:sz w:val="20"/>
                <w:szCs w:val="21"/>
                <w:lang w:val="en-US" w:eastAsia="zh-CN" w:bidi="ar-SA"/>
              </w:rPr>
            </w:pPr>
          </w:p>
          <w:p>
            <w:pPr>
              <w:spacing w:line="240" w:lineRule="auto"/>
              <w:rPr>
                <w:rFonts w:hint="default" w:ascii="Times New Roman" w:hAnsi="Times New Roman" w:eastAsia="宋体" w:cs="Times New Roman"/>
                <w:color w:val="auto"/>
                <w:sz w:val="21"/>
              </w:rPr>
            </w:pPr>
          </w:p>
          <w:p>
            <w:pPr>
              <w:pStyle w:val="5"/>
              <w:rPr>
                <w:rFonts w:hint="default" w:ascii="Times New Roman" w:hAnsi="Times New Roman" w:eastAsia="宋体" w:cs="Times New Roman"/>
                <w:color w:val="auto"/>
                <w:sz w:val="21"/>
              </w:rPr>
            </w:pPr>
          </w:p>
          <w:p>
            <w:pPr>
              <w:rPr>
                <w:rFonts w:hint="default" w:ascii="Times New Roman" w:hAnsi="Times New Roman" w:eastAsia="宋体" w:cs="Times New Roman"/>
                <w:color w:val="auto"/>
                <w:sz w:val="21"/>
              </w:rPr>
            </w:pPr>
          </w:p>
          <w:p>
            <w:pPr>
              <w:pStyle w:val="5"/>
              <w:rPr>
                <w:rFonts w:hint="default" w:ascii="Times New Roman" w:hAnsi="Times New Roman" w:eastAsia="宋体" w:cs="Times New Roman"/>
                <w:color w:val="auto"/>
                <w:sz w:val="21"/>
              </w:rPr>
            </w:pPr>
          </w:p>
          <w:p>
            <w:pPr>
              <w:rPr>
                <w:rFonts w:hint="default" w:ascii="Times New Roman" w:hAnsi="Times New Roman" w:eastAsia="宋体" w:cs="Times New Roman"/>
                <w:color w:val="auto"/>
                <w:sz w:val="21"/>
              </w:rPr>
            </w:pPr>
          </w:p>
          <w:p>
            <w:pPr>
              <w:pStyle w:val="5"/>
              <w:rPr>
                <w:rFonts w:hint="default" w:ascii="Times New Roman" w:hAnsi="Times New Roman" w:eastAsia="宋体" w:cs="Times New Roman"/>
                <w:color w:val="auto"/>
                <w:sz w:val="21"/>
              </w:rPr>
            </w:pPr>
          </w:p>
          <w:p>
            <w:pPr>
              <w:rPr>
                <w:rFonts w:hint="default" w:ascii="Times New Roman" w:hAnsi="Times New Roman" w:eastAsia="宋体" w:cs="Times New Roman"/>
                <w:color w:val="auto"/>
                <w:sz w:val="21"/>
              </w:rPr>
            </w:pPr>
          </w:p>
          <w:p>
            <w:pPr>
              <w:pStyle w:val="5"/>
              <w:rPr>
                <w:rFonts w:hint="default" w:ascii="Times New Roman" w:hAnsi="Times New Roman" w:eastAsia="宋体" w:cs="Times New Roman"/>
                <w:color w:val="auto"/>
                <w:sz w:val="21"/>
              </w:rPr>
            </w:pPr>
          </w:p>
          <w:p>
            <w:pPr>
              <w:rPr>
                <w:rFonts w:hint="default" w:ascii="Times New Roman" w:hAnsi="Times New Roman" w:eastAsia="宋体" w:cs="Times New Roman"/>
                <w:color w:val="auto"/>
                <w:sz w:val="21"/>
              </w:rPr>
            </w:pPr>
          </w:p>
          <w:p>
            <w:pPr>
              <w:pStyle w:val="5"/>
              <w:rPr>
                <w:rFonts w:hint="default" w:ascii="Times New Roman" w:hAnsi="Times New Roman" w:eastAsia="宋体" w:cs="Times New Roman"/>
                <w:color w:val="auto"/>
                <w:sz w:val="21"/>
              </w:rPr>
            </w:pPr>
          </w:p>
          <w:p>
            <w:pPr>
              <w:rPr>
                <w:rFonts w:hint="default" w:ascii="Times New Roman" w:hAnsi="Times New Roman" w:eastAsia="宋体" w:cs="Times New Roman"/>
                <w:color w:val="auto"/>
                <w:sz w:val="21"/>
              </w:rPr>
            </w:pPr>
          </w:p>
          <w:p>
            <w:pPr>
              <w:pStyle w:val="34"/>
              <w:rPr>
                <w:rFonts w:hint="default" w:ascii="Times New Roman" w:hAnsi="Times New Roman" w:eastAsia="宋体" w:cs="Times New Roman"/>
                <w:color w:val="auto"/>
                <w:sz w:val="21"/>
              </w:rPr>
            </w:pPr>
          </w:p>
          <w:p>
            <w:pPr>
              <w:pStyle w:val="7"/>
              <w:rPr>
                <w:rFonts w:hint="default" w:ascii="Times New Roman" w:hAnsi="Times New Roman" w:eastAsia="宋体" w:cs="Times New Roman"/>
                <w:color w:val="auto"/>
                <w:sz w:val="21"/>
              </w:rPr>
            </w:pPr>
          </w:p>
          <w:p>
            <w:pPr>
              <w:rPr>
                <w:rFonts w:hint="default"/>
              </w:rPr>
            </w:pPr>
          </w:p>
          <w:p>
            <w:pPr>
              <w:pStyle w:val="7"/>
              <w:ind w:left="0" w:leftChars="0" w:firstLine="0" w:firstLineChars="0"/>
              <w:rPr>
                <w:rFonts w:hint="default" w:ascii="Times New Roman" w:hAnsi="Times New Roman" w:eastAsia="宋体" w:cs="Times New Roman"/>
                <w:color w:val="auto"/>
                <w:sz w:val="21"/>
              </w:rPr>
            </w:pPr>
          </w:p>
          <w:p>
            <w:pPr>
              <w:rPr>
                <w:rFonts w:hint="default" w:ascii="Times New Roman" w:hAnsi="Times New Roman" w:eastAsia="宋体" w:cs="Times New Roman"/>
                <w:color w:val="auto"/>
                <w:sz w:val="21"/>
              </w:rPr>
            </w:pPr>
          </w:p>
          <w:p>
            <w:pPr>
              <w:pStyle w:val="2"/>
              <w:rPr>
                <w:rFonts w:hint="default" w:ascii="Times New Roman" w:hAnsi="Times New Roman" w:eastAsia="宋体" w:cs="Times New Roman"/>
                <w:color w:val="auto"/>
                <w:sz w:val="21"/>
              </w:rPr>
            </w:pPr>
          </w:p>
          <w:p>
            <w:pPr>
              <w:pStyle w:val="3"/>
              <w:rPr>
                <w:rFonts w:hint="default"/>
              </w:rPr>
            </w:pPr>
          </w:p>
          <w:p>
            <w:pPr>
              <w:rPr>
                <w:rFonts w:hint="default"/>
                <w:color w:val="auto"/>
              </w:rPr>
            </w:pPr>
          </w:p>
          <w:p>
            <w:pPr>
              <w:spacing w:line="240" w:lineRule="auto"/>
              <w:rPr>
                <w:rFonts w:hint="default" w:ascii="Times New Roman" w:hAnsi="Times New Roman" w:eastAsia="宋体" w:cs="Times New Roman"/>
                <w:color w:val="auto"/>
                <w:sz w:val="21"/>
              </w:rPr>
            </w:pPr>
          </w:p>
        </w:tc>
      </w:tr>
    </w:tbl>
    <w:p>
      <w:pPr>
        <w:widowControl/>
        <w:adjustRightInd w:val="0"/>
        <w:snapToGrid w:val="0"/>
        <w:spacing w:before="0" w:beforeAutospacing="0" w:after="0" w:afterAutospacing="0" w:line="360" w:lineRule="auto"/>
        <w:jc w:val="center"/>
        <w:outlineLvl w:val="0"/>
        <w:rPr>
          <w:rFonts w:ascii="Times New Roman" w:hAnsi="Times New Roman" w:eastAsia="黑体" w:cs="Times New Roman"/>
          <w:snapToGrid w:val="0"/>
          <w:color w:val="auto"/>
          <w:kern w:val="0"/>
          <w:sz w:val="30"/>
          <w:szCs w:val="30"/>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adjustRightInd w:val="0"/>
        <w:snapToGrid w:val="0"/>
        <w:spacing w:before="0" w:beforeAutospacing="0" w:after="0" w:afterAutospacing="0" w:line="360" w:lineRule="auto"/>
        <w:jc w:val="center"/>
        <w:outlineLvl w:val="0"/>
        <w:rPr>
          <w:rFonts w:ascii="Times New Roman" w:hAnsi="Times New Roman" w:eastAsia="黑体" w:cs="Times New Roman"/>
          <w:snapToGrid w:val="0"/>
          <w:color w:val="auto"/>
          <w:kern w:val="0"/>
          <w:sz w:val="30"/>
          <w:szCs w:val="30"/>
          <w:lang w:val="en-US" w:eastAsia="zh-CN" w:bidi="ar-SA"/>
        </w:rPr>
      </w:pPr>
      <w:r>
        <w:rPr>
          <w:rFonts w:ascii="Times New Roman" w:hAnsi="Times New Roman" w:eastAsia="黑体" w:cs="Times New Roman"/>
          <w:snapToGrid w:val="0"/>
          <w:color w:val="auto"/>
          <w:kern w:val="0"/>
          <w:sz w:val="30"/>
          <w:szCs w:val="30"/>
          <w:lang w:val="en-US" w:eastAsia="zh-CN" w:bidi="ar-SA"/>
        </w:rPr>
        <w:t>四、主要环境影响和保护措施</w:t>
      </w:r>
    </w:p>
    <w:tbl>
      <w:tblPr>
        <w:tblStyle w:val="24"/>
        <w:tblW w:w="977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4"/>
        <w:gridCol w:w="95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264" w:type="dxa"/>
            <w:noWrap w:val="0"/>
            <w:tcMar>
              <w:left w:w="28" w:type="dxa"/>
              <w:right w:w="28" w:type="dxa"/>
            </w:tcMar>
            <w:vAlign w:val="center"/>
          </w:tcPr>
          <w:p>
            <w:pPr>
              <w:widowControl/>
              <w:adjustRightInd w:val="0"/>
              <w:snapToGrid w:val="0"/>
              <w:spacing w:before="0" w:beforeAutospacing="0" w:after="0" w:afterAutospacing="0"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施工</w:t>
            </w:r>
          </w:p>
          <w:p>
            <w:pPr>
              <w:widowControl/>
              <w:adjustRightInd w:val="0"/>
              <w:snapToGrid w:val="0"/>
              <w:spacing w:before="0" w:beforeAutospacing="0" w:after="0" w:afterAutospacing="0"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期环</w:t>
            </w:r>
          </w:p>
          <w:p>
            <w:pPr>
              <w:widowControl/>
              <w:adjustRightInd w:val="0"/>
              <w:snapToGrid w:val="0"/>
              <w:spacing w:before="0" w:beforeAutospacing="0" w:after="0" w:afterAutospacing="0"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境保</w:t>
            </w:r>
          </w:p>
          <w:p>
            <w:pPr>
              <w:widowControl/>
              <w:adjustRightInd w:val="0"/>
              <w:snapToGrid w:val="0"/>
              <w:spacing w:before="0" w:beforeAutospacing="0" w:after="0" w:afterAutospacing="0"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护措</w:t>
            </w:r>
          </w:p>
          <w:p>
            <w:pPr>
              <w:widowControl/>
              <w:adjustRightInd w:val="0"/>
              <w:snapToGrid w:val="0"/>
              <w:spacing w:before="0" w:beforeAutospacing="0" w:after="0" w:afterAutospacing="0" w:line="36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4"/>
                <w:szCs w:val="24"/>
                <w:lang w:val="en-US" w:eastAsia="zh-CN" w:bidi="ar-SA"/>
              </w:rPr>
              <w:t>施</w:t>
            </w:r>
          </w:p>
        </w:tc>
        <w:tc>
          <w:tcPr>
            <w:tcW w:w="9511" w:type="dxa"/>
            <w:noWrap w:val="0"/>
            <w:vAlign w:val="center"/>
          </w:tcPr>
          <w:p>
            <w:pPr>
              <w:adjustRightInd w:val="0"/>
              <w:snapToGrid w:val="0"/>
              <w:spacing w:line="360" w:lineRule="auto"/>
              <w:ind w:firstLine="482" w:firstLineChars="200"/>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一、施工期环境空气影响及防护措施</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建设过程中扬尘及废气不可避免会对周围大气环境质量造成一定的影响，根据《中华人民共和国大气污染防治法》，建设单位应要求工程施工单位制定施工期环境管理计划，施工单位必须严格执行建筑施工工地治理扬尘污染要求的</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六个百分百</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标准，即：施工工地周边100%围挡、物料堆放100%覆盖、出入车辆100%冲洗、施工现场地面100%硬化、拆迁工地100%湿法作业、渣土车辆100%密闭运输。控制施工期扬尘的主要措施包括：</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洒水抑尘：扬尘量与粉尘的含水率有关，粉尘含水率越高，扬尘量越小，目前国内大多数施工场地均采用洒水来进行抑尘。经试验表明：每天洒水4～5次，可使扬尘量减少70%左右，扬尘造成的TSP污染距离可缩小到20～50m范围，因此，本项目可通过该方式来减缓施工扬尘；</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限制车速：施工场地的扬尘，大部分来自施工车辆。在同样清洁程度的条件下，车速越慢，扬尘量越小。施工车辆在进入施工场地后，需减速行驶，以减少施工场地扬尘，建议行驶车速不大于5km/h。此时的扬尘量可减少为一般行驶速度（15km/h计）情况下的1/3；</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保持施工场地路面清洁：为保持施工场地、进出道路以及施工车辆的清洁，可通过及时清扫，对施工车辆及时清洗，禁止超载，防止洒落等有效措施来保持场地路面的清洁，减少施工扬尘；</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避免大风天气作业：应避免在大风天气进行水泥、黄沙等的装卸作业，对水泥类物资尽可能不要露天堆放，即使必须露天堆放，也要注意加盖防雨布，减少大风造成的施工扬尘；</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其他措施：为了减少施工扬尘，施工中还应注意减少表面裸土，开挖后及时回填、夯实，做到有计划开挖，有计划回填。</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本项目施工期在采取上述措施后，达到</w:t>
            </w:r>
            <w:r>
              <w:rPr>
                <w:rFonts w:hint="default" w:ascii="Times New Roman" w:hAnsi="Times New Roman" w:eastAsia="宋体" w:cs="Times New Roman"/>
                <w:bCs/>
                <w:snapToGrid w:val="0"/>
                <w:color w:val="auto"/>
                <w:kern w:val="0"/>
                <w:sz w:val="24"/>
                <w:highlight w:val="none"/>
              </w:rPr>
              <w:t>《大气污染物综合排放标准》（GB16297-1996）中1.0mg/m</w:t>
            </w:r>
            <w:r>
              <w:rPr>
                <w:rFonts w:hint="default" w:ascii="Times New Roman" w:hAnsi="Times New Roman" w:eastAsia="宋体" w:cs="Times New Roman"/>
                <w:bCs/>
                <w:snapToGrid w:val="0"/>
                <w:color w:val="auto"/>
                <w:kern w:val="0"/>
                <w:sz w:val="24"/>
                <w:highlight w:val="none"/>
                <w:vertAlign w:val="superscript"/>
              </w:rPr>
              <w:t>3</w:t>
            </w:r>
            <w:r>
              <w:rPr>
                <w:rFonts w:hint="default" w:ascii="Times New Roman" w:hAnsi="Times New Roman" w:eastAsia="宋体" w:cs="Times New Roman"/>
                <w:bCs/>
                <w:snapToGrid w:val="0"/>
                <w:color w:val="auto"/>
                <w:kern w:val="0"/>
                <w:sz w:val="24"/>
                <w:highlight w:val="none"/>
              </w:rPr>
              <w:t>的要求后，</w:t>
            </w:r>
            <w:r>
              <w:rPr>
                <w:rFonts w:hint="default" w:ascii="Times New Roman" w:hAnsi="Times New Roman" w:eastAsia="宋体" w:cs="Times New Roman"/>
                <w:color w:val="auto"/>
                <w:sz w:val="24"/>
                <w:highlight w:val="none"/>
              </w:rPr>
              <w:t>不会对区域环境空气造成大的影响，对环境敏感点的影响降到最小。</w:t>
            </w:r>
          </w:p>
          <w:p>
            <w:pPr>
              <w:adjustRightInd w:val="0"/>
              <w:snapToGrid w:val="0"/>
              <w:spacing w:line="360" w:lineRule="auto"/>
              <w:ind w:firstLine="482" w:firstLineChars="200"/>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二、施工期水环境影响分析及防治措施</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施工期废水主要为施工废水、施工人员生活污水。</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施工期</w:t>
            </w:r>
            <w:r>
              <w:rPr>
                <w:rFonts w:hint="default" w:ascii="Times New Roman" w:hAnsi="Times New Roman" w:eastAsia="宋体" w:cs="Times New Roman"/>
                <w:color w:val="auto"/>
                <w:sz w:val="24"/>
                <w:highlight w:val="none"/>
                <w:lang w:eastAsia="zh-CN"/>
              </w:rPr>
              <w:t>泥浆水经沉淀池沉淀后回用于施工场地洒水抑尘，不外排；机械设备和施工车辆冲洗废水经沉淀池</w:t>
            </w:r>
            <w:r>
              <w:rPr>
                <w:rFonts w:hint="default" w:ascii="Times New Roman" w:hAnsi="Times New Roman" w:eastAsia="宋体" w:cs="Times New Roman"/>
                <w:color w:val="auto"/>
                <w:sz w:val="24"/>
                <w:highlight w:val="none"/>
                <w:lang w:val="en-US" w:eastAsia="zh-CN"/>
              </w:rPr>
              <w:t>沉淀</w:t>
            </w:r>
            <w:r>
              <w:rPr>
                <w:rFonts w:hint="default" w:ascii="Times New Roman" w:hAnsi="Times New Roman" w:eastAsia="宋体" w:cs="Times New Roman"/>
                <w:color w:val="auto"/>
                <w:sz w:val="24"/>
                <w:highlight w:val="none"/>
                <w:lang w:eastAsia="zh-CN"/>
              </w:rPr>
              <w:t>后回用于机械设备及施工车辆冲洗，不外排。</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项目施工高峰时施工人员20人，施工期3个月，项目施工人员拟在周边租赁房屋住宿，不在本项目场地内设置营地。生活洗漱用水定额按65L/人d计，用水量为1.3m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/d，洗漱废水直接泼洒抑尘。如厕依托临时旱厕，定期清掏，由附近农民清掏堆肥后还田，</w:t>
            </w:r>
            <w:r>
              <w:rPr>
                <w:rFonts w:hint="default" w:ascii="Times New Roman" w:hAnsi="Times New Roman" w:eastAsia="宋体" w:cs="Times New Roman"/>
                <w:color w:val="auto"/>
                <w:sz w:val="24"/>
                <w:highlight w:val="none"/>
                <w:lang w:eastAsia="zh-CN"/>
              </w:rPr>
              <w:t>对周围水环境影响</w:t>
            </w:r>
            <w:r>
              <w:rPr>
                <w:rFonts w:hint="default" w:ascii="Times New Roman" w:hAnsi="Times New Roman" w:eastAsia="宋体" w:cs="Times New Roman"/>
                <w:color w:val="auto"/>
                <w:sz w:val="24"/>
                <w:highlight w:val="none"/>
                <w:lang w:val="en-US" w:eastAsia="zh-CN"/>
              </w:rPr>
              <w:t>较小</w:t>
            </w:r>
            <w:r>
              <w:rPr>
                <w:rFonts w:hint="default" w:ascii="Times New Roman" w:hAnsi="Times New Roman" w:eastAsia="宋体" w:cs="Times New Roman"/>
                <w:color w:val="auto"/>
                <w:sz w:val="24"/>
                <w:highlight w:val="none"/>
                <w:lang w:eastAsia="zh-CN"/>
              </w:rPr>
              <w:t>。针对本项目本环评还提出以下建议及要求。</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fldChar w:fldCharType="begin"/>
            </w:r>
            <w:r>
              <w:rPr>
                <w:rFonts w:hint="default" w:ascii="Times New Roman" w:hAnsi="Times New Roman" w:eastAsia="宋体" w:cs="Times New Roman"/>
                <w:color w:val="auto"/>
                <w:sz w:val="24"/>
                <w:szCs w:val="24"/>
                <w:highlight w:val="none"/>
                <w:lang w:eastAsia="zh-CN"/>
              </w:rPr>
              <w:instrText xml:space="preserve"> = 1 \* GB3 \* MERGEFORMAT </w:instrText>
            </w:r>
            <w:r>
              <w:rPr>
                <w:rFonts w:hint="default" w:ascii="Times New Roman" w:hAnsi="Times New Roman" w:eastAsia="宋体" w:cs="Times New Roman"/>
                <w:color w:val="auto"/>
                <w:sz w:val="24"/>
                <w:szCs w:val="24"/>
                <w:highlight w:val="none"/>
                <w:lang w:eastAsia="zh-CN"/>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sz w:val="24"/>
                <w:szCs w:val="24"/>
                <w:highlight w:val="none"/>
                <w:lang w:eastAsia="zh-CN"/>
              </w:rPr>
              <w:fldChar w:fldCharType="end"/>
            </w:r>
            <w:r>
              <w:rPr>
                <w:rFonts w:hint="default" w:ascii="Times New Roman" w:hAnsi="Times New Roman" w:eastAsia="宋体" w:cs="Times New Roman"/>
                <w:color w:val="auto"/>
                <w:sz w:val="24"/>
                <w:szCs w:val="24"/>
                <w:highlight w:val="none"/>
                <w:lang w:eastAsia="zh-CN"/>
              </w:rPr>
              <w:t>设置施工废水沉淀设施，在各条道路项目用地范围内主进出口设置车辆冲洗台同时设置简易沉淀池，对进出施工场地车辆和施工机具冲洗废水进行沉淀处理，处理后的废水回用于施工工艺或用作施工场地和道路洒水抑尘，严禁直接排入外环境。</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2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eastAsia="zh-CN"/>
              </w:rPr>
              <w:t>运输、施工机械机修油污应集中处理，擦有油污的固体废弃物不得随意乱扔，要妥善处理，以减少石油类对环境的污染。</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fldChar w:fldCharType="begin"/>
            </w:r>
            <w:r>
              <w:rPr>
                <w:rFonts w:hint="default" w:ascii="Times New Roman" w:hAnsi="Times New Roman" w:eastAsia="宋体" w:cs="Times New Roman"/>
                <w:color w:val="auto"/>
                <w:sz w:val="24"/>
                <w:szCs w:val="24"/>
                <w:highlight w:val="none"/>
                <w:lang w:eastAsia="zh-CN"/>
              </w:rPr>
              <w:instrText xml:space="preserve"> = 3 \* GB3 \* MERGEFORMAT </w:instrText>
            </w:r>
            <w:r>
              <w:rPr>
                <w:rFonts w:hint="default" w:ascii="Times New Roman" w:hAnsi="Times New Roman" w:eastAsia="宋体" w:cs="Times New Roman"/>
                <w:color w:val="auto"/>
                <w:sz w:val="24"/>
                <w:szCs w:val="24"/>
                <w:highlight w:val="none"/>
                <w:lang w:eastAsia="zh-CN"/>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sz w:val="24"/>
                <w:szCs w:val="24"/>
                <w:highlight w:val="none"/>
                <w:lang w:eastAsia="zh-CN"/>
              </w:rPr>
              <w:fldChar w:fldCharType="end"/>
            </w:r>
            <w:r>
              <w:rPr>
                <w:rFonts w:hint="default" w:ascii="Times New Roman" w:hAnsi="Times New Roman" w:eastAsia="宋体" w:cs="Times New Roman"/>
                <w:color w:val="auto"/>
                <w:sz w:val="24"/>
                <w:szCs w:val="24"/>
                <w:highlight w:val="none"/>
                <w:lang w:eastAsia="zh-CN"/>
              </w:rPr>
              <w:t>在施工期间必须制定严格的施工环保管理制度，教育施工人员自觉遵守规章制度，并加以严格监督和管理。</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采取上述措施后，本项目施工期废水对水环境影响较小。且由于本项目施工期是暂时的，一旦施工结束，其施工期废水也随之停止产生，因此，对周围环境的影响是有限的。</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三、施工期噪声影响分析及防护措施</w:t>
            </w:r>
          </w:p>
          <w:p>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施工期噪声主要来源于施工机械噪声和施工运输车辆产生的交通噪声。施工过程中使用的施工机械有挖掘机、装卸机、电锯、运输车辆等设备，在正常情况下这些设备产生的声压级在75~95dB(A)之间，且施工期间这些噪声源均处于露天状态，对周围声环境有一定的影响，为了减小施工噪声对周围环境的影响，本工程施工中必须采取如下噪声防治措施：</w:t>
            </w:r>
          </w:p>
          <w:p>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①合理安排施工时段，合理布局施工场地，夜间不施工。避免大量噪声设备同时使用。</w:t>
            </w:r>
          </w:p>
          <w:p>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②选用低噪声设备，使施工设备保持良好的运行状态。</w:t>
            </w:r>
          </w:p>
          <w:p>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③加强施工管理，降低人为噪声影响。</w:t>
            </w:r>
          </w:p>
          <w:p>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④加强车辆管理，多种措施防治施工交通噪声，减少影响。</w:t>
            </w:r>
          </w:p>
          <w:p>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由于项目工程量小，施工简单，只要严格管理，文明施工，场界噪声能达到《建筑施工场界环境噪声排放标准》(GB12523-2011)的规定，而且施工期产生噪声的影响是短期的，随着施工期结束而消失，不会对周围声环境产生明显的不利影响。</w:t>
            </w:r>
          </w:p>
          <w:p>
            <w:pPr>
              <w:adjustRightInd w:val="0"/>
              <w:snapToGrid w:val="0"/>
              <w:spacing w:line="360" w:lineRule="auto"/>
              <w:ind w:firstLine="482" w:firstLineChars="200"/>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四、施工期固体废物影响分析及措施</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施工</w:t>
            </w:r>
            <w:r>
              <w:rPr>
                <w:rFonts w:hint="default" w:ascii="Times New Roman" w:hAnsi="Times New Roman" w:eastAsia="宋体" w:cs="Times New Roman"/>
                <w:color w:val="auto"/>
                <w:sz w:val="24"/>
                <w:highlight w:val="none"/>
              </w:rPr>
              <w:t>期固体废物主要为建筑垃圾、装修垃圾、</w:t>
            </w:r>
            <w:r>
              <w:rPr>
                <w:rFonts w:hint="default" w:ascii="Times New Roman" w:hAnsi="Times New Roman" w:eastAsia="宋体" w:cs="Times New Roman"/>
                <w:color w:val="auto"/>
                <w:sz w:val="24"/>
                <w:highlight w:val="none"/>
                <w:lang w:val="en-US" w:eastAsia="zh-CN"/>
              </w:rPr>
              <w:t>施工人员</w:t>
            </w:r>
            <w:r>
              <w:rPr>
                <w:rFonts w:hint="default" w:ascii="Times New Roman" w:hAnsi="Times New Roman" w:eastAsia="宋体" w:cs="Times New Roman"/>
                <w:color w:val="auto"/>
                <w:sz w:val="24"/>
                <w:highlight w:val="none"/>
              </w:rPr>
              <w:t>生活垃圾。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建筑垃圾</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要求施工期尽量将建筑垃圾进行综合利用，不能利用部分清运至附近建筑垃圾处置点。</w:t>
            </w:r>
          </w:p>
          <w:p>
            <w:pPr>
              <w:adjustRightInd w:val="0"/>
              <w:snapToGrid w:val="0"/>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highlight w:val="none"/>
                <w:lang w:val="en-US" w:eastAsia="zh-CN"/>
              </w:rPr>
              <w:t>生活垃圾：本项目施工周期为3个月，</w:t>
            </w:r>
            <w:r>
              <w:rPr>
                <w:rFonts w:hint="default" w:ascii="Times New Roman" w:hAnsi="Times New Roman" w:eastAsia="宋体" w:cs="Times New Roman"/>
                <w:color w:val="auto"/>
                <w:sz w:val="24"/>
                <w:highlight w:val="none"/>
              </w:rPr>
              <w:t>施工人员按每天</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人计，员工生活垃圾产生量按0.5kg/人·d计，则</w:t>
            </w:r>
            <w:r>
              <w:rPr>
                <w:rFonts w:hint="default" w:ascii="Times New Roman" w:hAnsi="Times New Roman" w:eastAsia="宋体" w:cs="Times New Roman"/>
                <w:color w:val="auto"/>
                <w:sz w:val="24"/>
                <w:highlight w:val="none"/>
                <w:lang w:val="en-US" w:eastAsia="zh-CN"/>
              </w:rPr>
              <w:t>整个</w:t>
            </w:r>
            <w:r>
              <w:rPr>
                <w:rFonts w:hint="default" w:ascii="Times New Roman" w:hAnsi="Times New Roman" w:eastAsia="宋体" w:cs="Times New Roman"/>
                <w:color w:val="auto"/>
                <w:sz w:val="24"/>
                <w:highlight w:val="none"/>
              </w:rPr>
              <w:t>施工期生活垃圾产生</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0.9</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kern w:val="0"/>
                <w:sz w:val="24"/>
                <w:szCs w:val="24"/>
                <w:highlight w:val="none"/>
                <w:lang w:val="en-US" w:eastAsia="zh-CN" w:bidi="ar"/>
              </w:rPr>
              <w:t>生活垃圾经垃圾桶收集后，拉运至环卫部门指定地点处置。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264" w:type="dxa"/>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措施</w:t>
            </w:r>
          </w:p>
        </w:tc>
        <w:tc>
          <w:tcPr>
            <w:tcW w:w="9511" w:type="dxa"/>
            <w:noWrap w:val="0"/>
            <w:vAlign w:val="top"/>
          </w:tcPr>
          <w:p>
            <w:pPr>
              <w:adjustRightInd w:val="0"/>
              <w:snapToGrid w:val="0"/>
              <w:ind w:firstLine="440" w:firstLineChars="200"/>
              <w:rPr>
                <w:rFonts w:hint="default" w:ascii="Times New Roman" w:hAnsi="Times New Roman" w:eastAsia="宋体" w:cs="Times New Roman"/>
                <w:bCs/>
                <w:color w:val="auto"/>
                <w:spacing w:val="-10"/>
                <w:szCs w:val="21"/>
              </w:rPr>
            </w:pPr>
            <w:r>
              <w:rPr>
                <w:rFonts w:hint="default" w:ascii="Times New Roman" w:hAnsi="Times New Roman" w:eastAsia="宋体" w:cs="Times New Roman"/>
                <w:bCs/>
                <w:color w:val="auto"/>
                <w:spacing w:val="-10"/>
                <w:szCs w:val="21"/>
                <w:lang w:val="en-US" w:eastAsia="zh-CN"/>
              </w:rPr>
              <w:t>一</w:t>
            </w:r>
            <w:r>
              <w:rPr>
                <w:rFonts w:hint="default" w:ascii="Times New Roman" w:hAnsi="Times New Roman" w:eastAsia="宋体" w:cs="Times New Roman"/>
                <w:bCs/>
                <w:color w:val="auto"/>
                <w:spacing w:val="-10"/>
                <w:szCs w:val="21"/>
              </w:rPr>
              <w:t>、废水</w:t>
            </w:r>
          </w:p>
          <w:p>
            <w:pPr>
              <w:widowControl/>
              <w:snapToGrid w:val="0"/>
              <w:spacing w:before="0" w:after="0" w:line="360" w:lineRule="auto"/>
              <w:ind w:right="0"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1.1废水源强核算</w:t>
            </w:r>
          </w:p>
          <w:p>
            <w:pPr>
              <w:widowControl/>
              <w:snapToGrid w:val="0"/>
              <w:spacing w:before="0" w:after="0" w:line="360" w:lineRule="auto"/>
              <w:ind w:right="0" w:firstLine="480" w:firstLineChars="200"/>
              <w:jc w:val="both"/>
              <w:rPr>
                <w:rFonts w:hint="default" w:ascii="Times New Roman" w:hAnsi="Times New Roman" w:eastAsia="宋体" w:cs="Times New Roman"/>
                <w:color w:val="auto"/>
                <w:kern w:val="0"/>
                <w:sz w:val="24"/>
                <w:szCs w:val="24"/>
                <w:lang w:val="en-US" w:eastAsia="zh-CN" w:bidi="ar-SA"/>
              </w:rPr>
            </w:pPr>
            <w:r>
              <w:rPr>
                <w:rStyle w:val="30"/>
                <w:rFonts w:hint="default" w:ascii="Times New Roman" w:hAnsi="Times New Roman" w:eastAsia="宋体" w:cs="Times New Roman"/>
                <w:color w:val="auto"/>
                <w:kern w:val="0"/>
                <w:sz w:val="24"/>
                <w:szCs w:val="24"/>
                <w:lang w:val="en-US" w:eastAsia="zh-CN" w:bidi="ar-SA"/>
              </w:rPr>
              <w:t>项目运行期废水主要为生活污水、食堂废水、原料清洗废水、设备清洗废水、漂烫废水、冷却清洗废水、地面清洗废水、锅炉定期排水、纯水制备浓水。</w:t>
            </w:r>
          </w:p>
          <w:p>
            <w:pPr>
              <w:widowControl/>
              <w:snapToGrid w:val="0"/>
              <w:spacing w:before="0" w:after="0" w:line="360" w:lineRule="auto"/>
              <w:ind w:right="0"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（1）生活污水及食堂废水</w:t>
            </w:r>
          </w:p>
          <w:p>
            <w:pPr>
              <w:widowControl/>
              <w:snapToGrid w:val="0"/>
              <w:spacing w:before="0" w:after="0" w:line="360" w:lineRule="auto"/>
              <w:ind w:right="0"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根据前文水平衡计算，员工生活污水及食堂废水产生量为</w:t>
            </w:r>
            <w:r>
              <w:rPr>
                <w:rFonts w:hint="default"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1713.6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kern w:val="0"/>
                <w:sz w:val="24"/>
                <w:szCs w:val="24"/>
                <w:lang w:val="en-US" w:eastAsia="zh-CN" w:bidi="ar-SA"/>
              </w:rPr>
              <w:t>，主要污染物为COD、BOD、NH</w:t>
            </w:r>
            <w:r>
              <w:rPr>
                <w:rFonts w:hint="default" w:ascii="Times New Roman" w:hAnsi="Times New Roman" w:eastAsia="宋体" w:cs="Times New Roman"/>
                <w:color w:val="auto"/>
                <w:kern w:val="0"/>
                <w:sz w:val="24"/>
                <w:szCs w:val="24"/>
                <w:vertAlign w:val="subscript"/>
                <w:lang w:val="en-US" w:eastAsia="zh-CN" w:bidi="ar-SA"/>
              </w:rPr>
              <w:t>3</w:t>
            </w:r>
            <w:r>
              <w:rPr>
                <w:rFonts w:hint="default" w:ascii="Times New Roman" w:hAnsi="Times New Roman" w:eastAsia="宋体" w:cs="Times New Roman"/>
                <w:color w:val="auto"/>
                <w:kern w:val="0"/>
                <w:sz w:val="24"/>
                <w:szCs w:val="24"/>
                <w:lang w:val="en-US" w:eastAsia="zh-CN" w:bidi="ar-SA"/>
              </w:rPr>
              <w:t>-N、动植物油，污染物浓度COD500mg/L、BOD</w:t>
            </w:r>
            <w:r>
              <w:rPr>
                <w:rFonts w:hint="default" w:ascii="Times New Roman" w:hAnsi="Times New Roman" w:eastAsia="宋体" w:cs="Times New Roman"/>
                <w:color w:val="auto"/>
                <w:kern w:val="0"/>
                <w:sz w:val="24"/>
                <w:szCs w:val="24"/>
                <w:vertAlign w:val="subscript"/>
                <w:lang w:val="en-US" w:eastAsia="zh-CN" w:bidi="ar-SA"/>
              </w:rPr>
              <w:t>5</w:t>
            </w:r>
            <w:r>
              <w:rPr>
                <w:rFonts w:hint="default" w:ascii="Times New Roman" w:hAnsi="Times New Roman" w:eastAsia="宋体" w:cs="Times New Roman"/>
                <w:color w:val="auto"/>
                <w:kern w:val="0"/>
                <w:sz w:val="24"/>
                <w:szCs w:val="24"/>
                <w:lang w:val="en-US" w:eastAsia="zh-CN" w:bidi="ar-SA"/>
              </w:rPr>
              <w:t>300mg/L、SS300mg/L、氨氮30mg/L、动植物油15mg/L。食堂废水油水分离器处理后与生活污水混合后进入化粪池进行处理后经园区污水管网排入和政县污水处理厂。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生产废水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30"/>
                <w:rFonts w:hint="default" w:ascii="Times New Roman" w:hAnsi="Times New Roman" w:eastAsia="宋体" w:cs="Times New Roman"/>
                <w:color w:val="auto"/>
                <w:kern w:val="0"/>
                <w:sz w:val="24"/>
                <w:szCs w:val="24"/>
                <w:highlight w:val="none"/>
                <w:lang w:val="en-US" w:eastAsia="zh-CN" w:bidi="ar-SA"/>
              </w:rPr>
            </w:pPr>
            <w:r>
              <w:rPr>
                <w:rStyle w:val="30"/>
                <w:rFonts w:hint="default" w:ascii="Times New Roman" w:hAnsi="Times New Roman" w:eastAsia="宋体" w:cs="Times New Roman"/>
                <w:color w:val="auto"/>
                <w:kern w:val="0"/>
                <w:sz w:val="24"/>
                <w:szCs w:val="24"/>
                <w:highlight w:val="none"/>
                <w:lang w:val="en-US" w:eastAsia="zh-CN" w:bidi="ar-SA"/>
              </w:rPr>
              <w:t>生产废水总产生量为16.8m</w:t>
            </w:r>
            <w:r>
              <w:rPr>
                <w:rStyle w:val="30"/>
                <w:rFonts w:hint="default" w:ascii="Times New Roman" w:hAnsi="Times New Roman" w:eastAsia="宋体" w:cs="Times New Roman"/>
                <w:color w:val="auto"/>
                <w:kern w:val="0"/>
                <w:sz w:val="24"/>
                <w:szCs w:val="24"/>
                <w:highlight w:val="none"/>
                <w:vertAlign w:val="superscript"/>
                <w:lang w:val="en-US" w:eastAsia="zh-CN" w:bidi="ar-SA"/>
              </w:rPr>
              <w:t>3</w:t>
            </w:r>
            <w:r>
              <w:rPr>
                <w:rStyle w:val="30"/>
                <w:rFonts w:hint="default" w:ascii="Times New Roman" w:hAnsi="Times New Roman" w:eastAsia="宋体" w:cs="Times New Roman"/>
                <w:color w:val="auto"/>
                <w:kern w:val="0"/>
                <w:sz w:val="24"/>
                <w:szCs w:val="24"/>
                <w:highlight w:val="none"/>
                <w:lang w:val="en-US" w:eastAsia="zh-CN" w:bidi="ar-SA"/>
              </w:rPr>
              <w:t>/d，经查浆水及其衍生物生产无行业污染源强核算技术指南，因此废水源强采用类比法。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类比《年产500吨脱水蔬菜改扩建项目环境保护验收检测报告表》（类比项目</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）与《年产0.2万吨脱水蔬菜加工项目竣工环境保护验收监测报告表》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类比项目</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以及《张掖市京源商贸有限公司脱水蔬菜生产线项目竣工环境保护验收监测报告表》</w:t>
            </w:r>
            <w:r>
              <w:rPr>
                <w:rFonts w:hint="default" w:ascii="Times New Roman" w:hAnsi="Times New Roman" w:eastAsia="宋体" w:cs="Times New Roman"/>
                <w:color w:val="auto"/>
                <w:sz w:val="24"/>
                <w:szCs w:val="24"/>
                <w:highlight w:val="none"/>
              </w:rPr>
              <w:t>中的监测数据，该项目验收期间工程建设情况与本项目对照分析如下：</w:t>
            </w:r>
          </w:p>
          <w:p>
            <w:pPr>
              <w:pStyle w:val="14"/>
              <w:spacing w:line="360" w:lineRule="auto"/>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表4-1  生产废水产生源强类比情况一览表</w:t>
            </w:r>
          </w:p>
          <w:tbl>
            <w:tblPr>
              <w:tblStyle w:val="25"/>
              <w:tblW w:w="9285" w:type="dxa"/>
              <w:jc w:val="center"/>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710"/>
              <w:gridCol w:w="1815"/>
              <w:gridCol w:w="1935"/>
              <w:gridCol w:w="1725"/>
              <w:gridCol w:w="11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0" w:hRule="atLeast"/>
                <w:jc w:val="center"/>
              </w:trPr>
              <w:tc>
                <w:tcPr>
                  <w:tcW w:w="90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名称</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类比项目1</w:t>
                  </w:r>
                </w:p>
              </w:tc>
              <w:tc>
                <w:tcPr>
                  <w:tcW w:w="18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类比项目2</w:t>
                  </w:r>
                </w:p>
              </w:tc>
              <w:tc>
                <w:tcPr>
                  <w:tcW w:w="19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类比项目3</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w:t>
                  </w:r>
                </w:p>
              </w:tc>
              <w:tc>
                <w:tcPr>
                  <w:tcW w:w="119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对照结果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产能</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500t/a</w:t>
                  </w:r>
                </w:p>
              </w:tc>
              <w:tc>
                <w:tcPr>
                  <w:tcW w:w="18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2000t/a</w:t>
                  </w:r>
                </w:p>
              </w:tc>
              <w:tc>
                <w:tcPr>
                  <w:tcW w:w="19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1000t/a</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3748t/a</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（原料清洗量）</w:t>
                  </w:r>
                </w:p>
              </w:tc>
              <w:tc>
                <w:tcPr>
                  <w:tcW w:w="119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本项目产能较高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工艺</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去皮-清洗-切片-漂洗-离心脱水</w:t>
                  </w:r>
                </w:p>
              </w:tc>
              <w:tc>
                <w:tcPr>
                  <w:tcW w:w="18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清洗-漂烫-脱水</w:t>
                  </w:r>
                </w:p>
              </w:tc>
              <w:tc>
                <w:tcPr>
                  <w:tcW w:w="19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漂烫-清洗-冷却-脱水</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清洗-漂烫-冷却-脱水</w:t>
                  </w:r>
                </w:p>
              </w:tc>
              <w:tc>
                <w:tcPr>
                  <w:tcW w:w="119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基本一致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原材料</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大蒜、洋葱、青椒、番茄</w:t>
                  </w:r>
                </w:p>
              </w:tc>
              <w:tc>
                <w:tcPr>
                  <w:tcW w:w="18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大葱、南瓜、胡萝卜、青椒、红椒、白菜、辣根</w:t>
                  </w:r>
                </w:p>
              </w:tc>
              <w:tc>
                <w:tcPr>
                  <w:tcW w:w="19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洋葱、四季豆、红椒、青椒、胡萝卜</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芹菜、包心菜、蒲公英、曲曲菜、蒲公英</w:t>
                  </w:r>
                </w:p>
              </w:tc>
              <w:tc>
                <w:tcPr>
                  <w:tcW w:w="119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基本一致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废水来源</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原料清洗、漂烫、脱水、设备清洗</w:t>
                  </w:r>
                </w:p>
              </w:tc>
              <w:tc>
                <w:tcPr>
                  <w:tcW w:w="18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原料清洗、漂烫、脱水、设备清洗</w:t>
                  </w:r>
                </w:p>
              </w:tc>
              <w:tc>
                <w:tcPr>
                  <w:tcW w:w="19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原料清洗、漂烫、脱水、设备清洗</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原料清洗、漂烫、脱水、设备清洗</w:t>
                  </w:r>
                </w:p>
              </w:tc>
              <w:tc>
                <w:tcPr>
                  <w:tcW w:w="119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基本一致</w:t>
                  </w:r>
                </w:p>
              </w:tc>
            </w:tr>
          </w:tbl>
          <w:p>
            <w:pPr>
              <w:pStyle w:val="34"/>
              <w:ind w:firstLine="480"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由上表可知，本项目废水产生环节与类比项目一致，且清洗工艺一致，采用类比项目水质源强可行。本项目生产废水产生浓度见下表。</w:t>
            </w:r>
          </w:p>
          <w:p>
            <w:pPr>
              <w:pStyle w:val="34"/>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表4-2  本项目废水污染物浓度取值</w:t>
            </w:r>
          </w:p>
          <w:tbl>
            <w:tblPr>
              <w:tblStyle w:val="25"/>
              <w:tblW w:w="9285" w:type="dxa"/>
              <w:jc w:val="center"/>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547"/>
              <w:gridCol w:w="1548"/>
              <w:gridCol w:w="1548"/>
              <w:gridCol w:w="1736"/>
              <w:gridCol w:w="13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47" w:type="dxa"/>
                  <w:vMerge w:val="restart"/>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污染物</w:t>
                  </w:r>
                </w:p>
              </w:tc>
              <w:tc>
                <w:tcPr>
                  <w:tcW w:w="6379" w:type="dxa"/>
                  <w:gridSpan w:val="4"/>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污染物产生浓度（mg/L）</w:t>
                  </w:r>
                </w:p>
              </w:tc>
              <w:tc>
                <w:tcPr>
                  <w:tcW w:w="1359" w:type="dxa"/>
                  <w:vMerge w:val="restart"/>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47" w:type="dxa"/>
                  <w:vMerge w:val="continue"/>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47" w:type="dxa"/>
                  <w:tcBorders>
                    <w:tl2br w:val="nil"/>
                    <w:tr2bl w:val="nil"/>
                  </w:tcBorders>
                  <w:vAlign w:val="center"/>
                </w:tcPr>
                <w:p>
                  <w:pPr>
                    <w:spacing w:line="240" w:lineRule="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类比项目1</w:t>
                  </w:r>
                </w:p>
              </w:tc>
              <w:tc>
                <w:tcPr>
                  <w:tcW w:w="1548" w:type="dxa"/>
                  <w:tcBorders>
                    <w:tl2br w:val="nil"/>
                    <w:tr2bl w:val="nil"/>
                  </w:tcBorders>
                  <w:vAlign w:val="center"/>
                </w:tcPr>
                <w:p>
                  <w:pPr>
                    <w:spacing w:line="240" w:lineRule="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类比项目2</w:t>
                  </w:r>
                </w:p>
              </w:tc>
              <w:tc>
                <w:tcPr>
                  <w:tcW w:w="1548" w:type="dxa"/>
                  <w:tcBorders>
                    <w:tl2br w:val="nil"/>
                    <w:tr2bl w:val="nil"/>
                  </w:tcBorders>
                  <w:vAlign w:val="center"/>
                </w:tcPr>
                <w:p>
                  <w:pPr>
                    <w:spacing w:line="240" w:lineRule="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类比项目3</w:t>
                  </w:r>
                </w:p>
              </w:tc>
              <w:tc>
                <w:tcPr>
                  <w:tcW w:w="1736"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本项目取最高值</w:t>
                  </w:r>
                </w:p>
              </w:tc>
              <w:tc>
                <w:tcPr>
                  <w:tcW w:w="1359" w:type="dxa"/>
                  <w:vMerge w:val="continue"/>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47"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COD</w:t>
                  </w:r>
                </w:p>
              </w:tc>
              <w:tc>
                <w:tcPr>
                  <w:tcW w:w="1547"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740</w:t>
                  </w:r>
                </w:p>
              </w:tc>
              <w:tc>
                <w:tcPr>
                  <w:tcW w:w="1548"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3290</w:t>
                  </w:r>
                </w:p>
              </w:tc>
              <w:tc>
                <w:tcPr>
                  <w:tcW w:w="1548"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2072</w:t>
                  </w:r>
                </w:p>
              </w:tc>
              <w:tc>
                <w:tcPr>
                  <w:tcW w:w="1736"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3290</w:t>
                  </w:r>
                </w:p>
              </w:tc>
              <w:tc>
                <w:tcPr>
                  <w:tcW w:w="1359"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47"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BOD</w:t>
                  </w:r>
                  <w:r>
                    <w:rPr>
                      <w:rFonts w:hint="default" w:ascii="Times New Roman" w:hAnsi="Times New Roman" w:eastAsia="宋体" w:cs="Times New Roman"/>
                      <w:b w:val="0"/>
                      <w:bCs w:val="0"/>
                      <w:color w:val="auto"/>
                      <w:sz w:val="21"/>
                      <w:szCs w:val="21"/>
                      <w:vertAlign w:val="subscript"/>
                      <w:lang w:val="en-US" w:eastAsia="zh-CN"/>
                    </w:rPr>
                    <w:t>5</w:t>
                  </w:r>
                </w:p>
              </w:tc>
              <w:tc>
                <w:tcPr>
                  <w:tcW w:w="1547"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208</w:t>
                  </w:r>
                </w:p>
              </w:tc>
              <w:tc>
                <w:tcPr>
                  <w:tcW w:w="1548"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548"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800</w:t>
                  </w:r>
                </w:p>
              </w:tc>
              <w:tc>
                <w:tcPr>
                  <w:tcW w:w="1736"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800</w:t>
                  </w:r>
                </w:p>
              </w:tc>
              <w:tc>
                <w:tcPr>
                  <w:tcW w:w="1359"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47"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SS</w:t>
                  </w:r>
                </w:p>
              </w:tc>
              <w:tc>
                <w:tcPr>
                  <w:tcW w:w="1547"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201</w:t>
                  </w:r>
                </w:p>
              </w:tc>
              <w:tc>
                <w:tcPr>
                  <w:tcW w:w="1548"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1140</w:t>
                  </w:r>
                </w:p>
              </w:tc>
              <w:tc>
                <w:tcPr>
                  <w:tcW w:w="1548"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270</w:t>
                  </w:r>
                </w:p>
              </w:tc>
              <w:tc>
                <w:tcPr>
                  <w:tcW w:w="1736"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1140</w:t>
                  </w:r>
                </w:p>
              </w:tc>
              <w:tc>
                <w:tcPr>
                  <w:tcW w:w="1359"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47"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NH</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vertAlign w:val="baseline"/>
                      <w:lang w:val="en-US" w:eastAsia="zh-CN"/>
                    </w:rPr>
                    <w:t>-N</w:t>
                  </w:r>
                </w:p>
              </w:tc>
              <w:tc>
                <w:tcPr>
                  <w:tcW w:w="1547"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78</w:t>
                  </w:r>
                </w:p>
              </w:tc>
              <w:tc>
                <w:tcPr>
                  <w:tcW w:w="1548"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1.48</w:t>
                  </w:r>
                </w:p>
              </w:tc>
              <w:tc>
                <w:tcPr>
                  <w:tcW w:w="1548"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13.6</w:t>
                  </w:r>
                </w:p>
              </w:tc>
              <w:tc>
                <w:tcPr>
                  <w:tcW w:w="1736"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78</w:t>
                  </w:r>
                </w:p>
              </w:tc>
              <w:tc>
                <w:tcPr>
                  <w:tcW w:w="1359" w:type="dxa"/>
                  <w:tcBorders>
                    <w:tl2br w:val="nil"/>
                    <w:tr2bl w:val="nil"/>
                  </w:tcBorders>
                  <w:vAlign w:val="center"/>
                </w:tcPr>
                <w:p>
                  <w:pPr>
                    <w:pStyle w:val="7"/>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建设单位通过设置1座地埋式一体式污水处理设备（工艺为水解酸化+生物接触氧化，处理规模为23m</w:t>
            </w:r>
            <w:r>
              <w:rPr>
                <w:rFonts w:hint="default" w:ascii="Times New Roman" w:hAnsi="Times New Roman" w:eastAsia="宋体" w:cs="Times New Roman"/>
                <w:b w:val="0"/>
                <w:color w:val="auto"/>
                <w:kern w:val="0"/>
                <w:sz w:val="24"/>
                <w:szCs w:val="24"/>
                <w:vertAlign w:val="superscript"/>
                <w:lang w:val="en-US" w:eastAsia="zh-CN" w:bidi="ar-SA"/>
              </w:rPr>
              <w:t>3</w:t>
            </w:r>
            <w:r>
              <w:rPr>
                <w:rFonts w:hint="default" w:ascii="Times New Roman" w:hAnsi="Times New Roman" w:eastAsia="宋体" w:cs="Times New Roman"/>
                <w:b w:val="0"/>
                <w:color w:val="auto"/>
                <w:kern w:val="0"/>
                <w:sz w:val="24"/>
                <w:szCs w:val="24"/>
                <w:lang w:val="en-US" w:eastAsia="zh-CN" w:bidi="ar-SA"/>
              </w:rPr>
              <w:t>/d），处理后达到《污水综合排放标准》（GB8978-1996）三级标准后排入园区污水管网，最后排入</w:t>
            </w:r>
            <w:r>
              <w:rPr>
                <w:rFonts w:hint="default" w:ascii="Times New Roman" w:hAnsi="Times New Roman" w:eastAsia="宋体" w:cs="Times New Roman"/>
                <w:color w:val="auto"/>
                <w:kern w:val="0"/>
                <w:sz w:val="24"/>
                <w:szCs w:val="24"/>
                <w:lang w:val="en-US" w:eastAsia="zh-CN" w:bidi="ar-SA"/>
              </w:rPr>
              <w:t>和政县污水处理厂。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（3）纯水制备废水及锅炉定期排污水</w:t>
            </w:r>
          </w:p>
          <w:p>
            <w:pPr>
              <w:bidi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根据上文估算，纯水制备浓水的产生量为46.1m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/d，锅炉定期排污水产生量为1.8m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/d，水质较清洁，拟排入一座10m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的降温沉淀池处理后，排入降温沉淀池后作为清净下水排入园区管网。</w:t>
            </w:r>
          </w:p>
          <w:p>
            <w:pPr>
              <w:widowControl/>
              <w:snapToGrid w:val="0"/>
              <w:spacing w:before="0" w:after="0" w:line="360" w:lineRule="auto"/>
              <w:ind w:right="0"/>
              <w:jc w:val="center"/>
              <w:rPr>
                <w:rFonts w:hint="default" w:ascii="Times New Roman" w:hAnsi="Times New Roman" w:eastAsia="宋体" w:cs="Times New Roman"/>
                <w:b/>
                <w:bCs w:val="0"/>
                <w:color w:val="auto"/>
                <w:spacing w:val="-10"/>
                <w:kern w:val="0"/>
                <w:sz w:val="24"/>
                <w:szCs w:val="24"/>
                <w:lang w:val="en-US" w:eastAsia="zh-CN" w:bidi="ar-SA"/>
              </w:rPr>
            </w:pPr>
            <w:r>
              <w:rPr>
                <w:rFonts w:hint="default" w:ascii="Times New Roman" w:hAnsi="Times New Roman" w:eastAsia="宋体" w:cs="Times New Roman"/>
                <w:b/>
                <w:bCs w:val="0"/>
                <w:color w:val="auto"/>
                <w:kern w:val="0"/>
                <w:sz w:val="24"/>
                <w:szCs w:val="24"/>
                <w:lang w:val="en-US" w:eastAsia="zh-CN" w:bidi="ar-SA"/>
              </w:rPr>
              <w:t>表</w:t>
            </w:r>
            <w:r>
              <w:rPr>
                <w:rFonts w:hint="default" w:ascii="Times New Roman" w:hAnsi="Times New Roman" w:eastAsia="宋体" w:cs="Times New Roman"/>
                <w:b/>
                <w:bCs w:val="0"/>
                <w:color w:val="auto"/>
                <w:spacing w:val="-10"/>
                <w:kern w:val="0"/>
                <w:sz w:val="24"/>
                <w:szCs w:val="24"/>
                <w:lang w:val="en-US" w:eastAsia="zh-CN" w:bidi="ar-SA"/>
              </w:rPr>
              <w:t>4-3  项目水污染产生及排放情况一览表</w:t>
            </w:r>
          </w:p>
          <w:tbl>
            <w:tblPr>
              <w:tblStyle w:val="24"/>
              <w:tblW w:w="929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709"/>
              <w:gridCol w:w="965"/>
              <w:gridCol w:w="973"/>
              <w:gridCol w:w="1451"/>
              <w:gridCol w:w="1287"/>
              <w:gridCol w:w="1461"/>
              <w:gridCol w:w="9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5" w:type="dxa"/>
                  <w:vMerge w:val="restart"/>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1709" w:type="dxa"/>
                  <w:vMerge w:val="restart"/>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废水名称</w:t>
                  </w:r>
                </w:p>
              </w:tc>
              <w:tc>
                <w:tcPr>
                  <w:tcW w:w="1938" w:type="dxa"/>
                  <w:gridSpan w:val="2"/>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产生情况</w:t>
                  </w:r>
                </w:p>
              </w:tc>
              <w:tc>
                <w:tcPr>
                  <w:tcW w:w="4199" w:type="dxa"/>
                  <w:gridSpan w:val="3"/>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污染物源强</w:t>
                  </w:r>
                </w:p>
              </w:tc>
              <w:tc>
                <w:tcPr>
                  <w:tcW w:w="904" w:type="dxa"/>
                  <w:vMerge w:val="restart"/>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排放规律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5" w:type="dxa"/>
                  <w:vMerge w:val="continue"/>
                  <w:noWrap w:val="0"/>
                  <w:vAlign w:val="center"/>
                </w:tcPr>
                <w:p>
                  <w:pPr>
                    <w:pStyle w:val="32"/>
                    <w:bidi w:val="0"/>
                    <w:rPr>
                      <w:rFonts w:hint="default" w:ascii="Times New Roman" w:hAnsi="Times New Roman" w:eastAsia="宋体" w:cs="Times New Roman"/>
                      <w:color w:val="auto"/>
                    </w:rPr>
                  </w:pPr>
                </w:p>
              </w:tc>
              <w:tc>
                <w:tcPr>
                  <w:tcW w:w="1709" w:type="dxa"/>
                  <w:vMerge w:val="continue"/>
                  <w:noWrap w:val="0"/>
                  <w:vAlign w:val="center"/>
                </w:tcPr>
                <w:p>
                  <w:pPr>
                    <w:pStyle w:val="32"/>
                    <w:bidi w:val="0"/>
                    <w:rPr>
                      <w:rFonts w:hint="default" w:ascii="Times New Roman" w:hAnsi="Times New Roman" w:eastAsia="宋体" w:cs="Times New Roman"/>
                      <w:color w:val="auto"/>
                    </w:rPr>
                  </w:pPr>
                </w:p>
              </w:tc>
              <w:tc>
                <w:tcPr>
                  <w:tcW w:w="965"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tc>
              <w:tc>
                <w:tcPr>
                  <w:tcW w:w="973"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p>
              </w:tc>
              <w:tc>
                <w:tcPr>
                  <w:tcW w:w="1451"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污染物名称</w:t>
                  </w:r>
                </w:p>
              </w:tc>
              <w:tc>
                <w:tcPr>
                  <w:tcW w:w="1287"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浓度mg/L</w:t>
                  </w:r>
                </w:p>
              </w:tc>
              <w:tc>
                <w:tcPr>
                  <w:tcW w:w="1461"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产生量t/a</w:t>
                  </w:r>
                </w:p>
              </w:tc>
              <w:tc>
                <w:tcPr>
                  <w:tcW w:w="904" w:type="dxa"/>
                  <w:vMerge w:val="continue"/>
                  <w:noWrap w:val="0"/>
                  <w:vAlign w:val="center"/>
                </w:tcPr>
                <w:p>
                  <w:pPr>
                    <w:pStyle w:val="32"/>
                    <w:bidi w:val="0"/>
                    <w:rPr>
                      <w:rFonts w:hint="default" w:ascii="Times New Roman" w:hAnsi="Times New Roman" w:eastAsia="宋体" w:cs="Times New Roman"/>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545" w:type="dxa"/>
                  <w:vMerge w:val="restart"/>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709" w:type="dxa"/>
                  <w:vMerge w:val="restart"/>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生活污水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食堂废水</w:t>
                  </w:r>
                </w:p>
              </w:tc>
              <w:tc>
                <w:tcPr>
                  <w:tcW w:w="965" w:type="dxa"/>
                  <w:vMerge w:val="restart"/>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4.8</w:t>
                  </w:r>
                </w:p>
              </w:tc>
              <w:tc>
                <w:tcPr>
                  <w:tcW w:w="973" w:type="dxa"/>
                  <w:vMerge w:val="restart"/>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1713.6</w:t>
                  </w:r>
                </w:p>
              </w:tc>
              <w:tc>
                <w:tcPr>
                  <w:tcW w:w="1451"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CODCr</w:t>
                  </w:r>
                </w:p>
              </w:tc>
              <w:tc>
                <w:tcPr>
                  <w:tcW w:w="1287"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500</w:t>
                  </w:r>
                </w:p>
              </w:tc>
              <w:tc>
                <w:tcPr>
                  <w:tcW w:w="146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0.86</w:t>
                  </w:r>
                </w:p>
              </w:tc>
              <w:tc>
                <w:tcPr>
                  <w:tcW w:w="904" w:type="dxa"/>
                  <w:vMerge w:val="restart"/>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连续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5" w:type="dxa"/>
                  <w:vMerge w:val="continue"/>
                  <w:noWrap w:val="0"/>
                  <w:vAlign w:val="center"/>
                </w:tcPr>
                <w:p>
                  <w:pPr>
                    <w:pStyle w:val="32"/>
                    <w:bidi w:val="0"/>
                    <w:rPr>
                      <w:rFonts w:hint="default" w:ascii="Times New Roman" w:hAnsi="Times New Roman" w:eastAsia="宋体" w:cs="Times New Roman"/>
                      <w:color w:val="auto"/>
                    </w:rPr>
                  </w:pPr>
                </w:p>
              </w:tc>
              <w:tc>
                <w:tcPr>
                  <w:tcW w:w="1709" w:type="dxa"/>
                  <w:vMerge w:val="continue"/>
                  <w:noWrap w:val="0"/>
                  <w:vAlign w:val="center"/>
                </w:tcPr>
                <w:p>
                  <w:pPr>
                    <w:pStyle w:val="32"/>
                    <w:bidi w:val="0"/>
                    <w:rPr>
                      <w:rFonts w:hint="default" w:ascii="Times New Roman" w:hAnsi="Times New Roman" w:eastAsia="宋体" w:cs="Times New Roman"/>
                      <w:color w:val="auto"/>
                    </w:rPr>
                  </w:pPr>
                </w:p>
              </w:tc>
              <w:tc>
                <w:tcPr>
                  <w:tcW w:w="965" w:type="dxa"/>
                  <w:vMerge w:val="continue"/>
                  <w:noWrap w:val="0"/>
                  <w:vAlign w:val="center"/>
                </w:tcPr>
                <w:p>
                  <w:pPr>
                    <w:pStyle w:val="32"/>
                    <w:bidi w:val="0"/>
                    <w:rPr>
                      <w:rFonts w:hint="default" w:ascii="Times New Roman" w:hAnsi="Times New Roman" w:eastAsia="宋体" w:cs="Times New Roman"/>
                      <w:color w:val="auto"/>
                    </w:rPr>
                  </w:pPr>
                </w:p>
              </w:tc>
              <w:tc>
                <w:tcPr>
                  <w:tcW w:w="973" w:type="dxa"/>
                  <w:vMerge w:val="continue"/>
                  <w:noWrap w:val="0"/>
                  <w:vAlign w:val="center"/>
                </w:tcPr>
                <w:p>
                  <w:pPr>
                    <w:pStyle w:val="32"/>
                    <w:bidi w:val="0"/>
                    <w:rPr>
                      <w:rFonts w:hint="default" w:ascii="Times New Roman" w:hAnsi="Times New Roman" w:eastAsia="宋体" w:cs="Times New Roman"/>
                      <w:color w:val="auto"/>
                    </w:rPr>
                  </w:pPr>
                </w:p>
              </w:tc>
              <w:tc>
                <w:tcPr>
                  <w:tcW w:w="1451"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BOD</w:t>
                  </w:r>
                  <w:r>
                    <w:rPr>
                      <w:rFonts w:hint="default" w:ascii="Times New Roman" w:hAnsi="Times New Roman" w:eastAsia="宋体" w:cs="Times New Roman"/>
                      <w:color w:val="auto"/>
                      <w:vertAlign w:val="subscript"/>
                    </w:rPr>
                    <w:t>5</w:t>
                  </w:r>
                </w:p>
              </w:tc>
              <w:tc>
                <w:tcPr>
                  <w:tcW w:w="1287"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300</w:t>
                  </w:r>
                </w:p>
              </w:tc>
              <w:tc>
                <w:tcPr>
                  <w:tcW w:w="146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0.51</w:t>
                  </w:r>
                </w:p>
              </w:tc>
              <w:tc>
                <w:tcPr>
                  <w:tcW w:w="904" w:type="dxa"/>
                  <w:vMerge w:val="continue"/>
                  <w:noWrap w:val="0"/>
                  <w:vAlign w:val="center"/>
                </w:tcPr>
                <w:p>
                  <w:pPr>
                    <w:pStyle w:val="32"/>
                    <w:bidi w:val="0"/>
                    <w:rPr>
                      <w:rFonts w:hint="default" w:ascii="Times New Roman" w:hAnsi="Times New Roman" w:eastAsia="宋体" w:cs="Times New Roman"/>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5" w:type="dxa"/>
                  <w:vMerge w:val="continue"/>
                  <w:noWrap w:val="0"/>
                  <w:vAlign w:val="center"/>
                </w:tcPr>
                <w:p>
                  <w:pPr>
                    <w:pStyle w:val="32"/>
                    <w:bidi w:val="0"/>
                    <w:rPr>
                      <w:rFonts w:hint="default" w:ascii="Times New Roman" w:hAnsi="Times New Roman" w:eastAsia="宋体" w:cs="Times New Roman"/>
                      <w:color w:val="auto"/>
                    </w:rPr>
                  </w:pPr>
                </w:p>
              </w:tc>
              <w:tc>
                <w:tcPr>
                  <w:tcW w:w="1709" w:type="dxa"/>
                  <w:vMerge w:val="continue"/>
                  <w:noWrap w:val="0"/>
                  <w:vAlign w:val="center"/>
                </w:tcPr>
                <w:p>
                  <w:pPr>
                    <w:pStyle w:val="32"/>
                    <w:bidi w:val="0"/>
                    <w:rPr>
                      <w:rFonts w:hint="default" w:ascii="Times New Roman" w:hAnsi="Times New Roman" w:eastAsia="宋体" w:cs="Times New Roman"/>
                      <w:color w:val="auto"/>
                    </w:rPr>
                  </w:pPr>
                </w:p>
              </w:tc>
              <w:tc>
                <w:tcPr>
                  <w:tcW w:w="965" w:type="dxa"/>
                  <w:vMerge w:val="continue"/>
                  <w:noWrap w:val="0"/>
                  <w:vAlign w:val="center"/>
                </w:tcPr>
                <w:p>
                  <w:pPr>
                    <w:pStyle w:val="32"/>
                    <w:bidi w:val="0"/>
                    <w:rPr>
                      <w:rFonts w:hint="default" w:ascii="Times New Roman" w:hAnsi="Times New Roman" w:eastAsia="宋体" w:cs="Times New Roman"/>
                      <w:color w:val="auto"/>
                    </w:rPr>
                  </w:pPr>
                </w:p>
              </w:tc>
              <w:tc>
                <w:tcPr>
                  <w:tcW w:w="973" w:type="dxa"/>
                  <w:vMerge w:val="continue"/>
                  <w:noWrap w:val="0"/>
                  <w:vAlign w:val="center"/>
                </w:tcPr>
                <w:p>
                  <w:pPr>
                    <w:pStyle w:val="32"/>
                    <w:bidi w:val="0"/>
                    <w:rPr>
                      <w:rFonts w:hint="default" w:ascii="Times New Roman" w:hAnsi="Times New Roman" w:eastAsia="宋体" w:cs="Times New Roman"/>
                      <w:color w:val="auto"/>
                    </w:rPr>
                  </w:pPr>
                </w:p>
              </w:tc>
              <w:tc>
                <w:tcPr>
                  <w:tcW w:w="1451"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w:t>
                  </w:r>
                </w:p>
              </w:tc>
              <w:tc>
                <w:tcPr>
                  <w:tcW w:w="1287"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30</w:t>
                  </w:r>
                </w:p>
              </w:tc>
              <w:tc>
                <w:tcPr>
                  <w:tcW w:w="146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0.05</w:t>
                  </w:r>
                </w:p>
              </w:tc>
              <w:tc>
                <w:tcPr>
                  <w:tcW w:w="904" w:type="dxa"/>
                  <w:vMerge w:val="continue"/>
                  <w:noWrap w:val="0"/>
                  <w:vAlign w:val="center"/>
                </w:tcPr>
                <w:p>
                  <w:pPr>
                    <w:pStyle w:val="32"/>
                    <w:bidi w:val="0"/>
                    <w:rPr>
                      <w:rFonts w:hint="default" w:ascii="Times New Roman" w:hAnsi="Times New Roman" w:eastAsia="宋体" w:cs="Times New Roman"/>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5" w:type="dxa"/>
                  <w:vMerge w:val="continue"/>
                  <w:noWrap w:val="0"/>
                  <w:vAlign w:val="center"/>
                </w:tcPr>
                <w:p>
                  <w:pPr>
                    <w:pStyle w:val="32"/>
                    <w:bidi w:val="0"/>
                    <w:rPr>
                      <w:rFonts w:hint="default" w:ascii="Times New Roman" w:hAnsi="Times New Roman" w:eastAsia="宋体" w:cs="Times New Roman"/>
                      <w:color w:val="auto"/>
                    </w:rPr>
                  </w:pPr>
                </w:p>
              </w:tc>
              <w:tc>
                <w:tcPr>
                  <w:tcW w:w="1709" w:type="dxa"/>
                  <w:vMerge w:val="continue"/>
                  <w:noWrap w:val="0"/>
                  <w:vAlign w:val="center"/>
                </w:tcPr>
                <w:p>
                  <w:pPr>
                    <w:pStyle w:val="32"/>
                    <w:bidi w:val="0"/>
                    <w:rPr>
                      <w:rFonts w:hint="default" w:ascii="Times New Roman" w:hAnsi="Times New Roman" w:eastAsia="宋体" w:cs="Times New Roman"/>
                      <w:color w:val="auto"/>
                    </w:rPr>
                  </w:pPr>
                </w:p>
              </w:tc>
              <w:tc>
                <w:tcPr>
                  <w:tcW w:w="965" w:type="dxa"/>
                  <w:vMerge w:val="continue"/>
                  <w:noWrap w:val="0"/>
                  <w:vAlign w:val="center"/>
                </w:tcPr>
                <w:p>
                  <w:pPr>
                    <w:pStyle w:val="32"/>
                    <w:bidi w:val="0"/>
                    <w:rPr>
                      <w:rFonts w:hint="default" w:ascii="Times New Roman" w:hAnsi="Times New Roman" w:eastAsia="宋体" w:cs="Times New Roman"/>
                      <w:color w:val="auto"/>
                    </w:rPr>
                  </w:pPr>
                </w:p>
              </w:tc>
              <w:tc>
                <w:tcPr>
                  <w:tcW w:w="973" w:type="dxa"/>
                  <w:vMerge w:val="continue"/>
                  <w:noWrap w:val="0"/>
                  <w:vAlign w:val="center"/>
                </w:tcPr>
                <w:p>
                  <w:pPr>
                    <w:pStyle w:val="32"/>
                    <w:bidi w:val="0"/>
                    <w:rPr>
                      <w:rFonts w:hint="default" w:ascii="Times New Roman" w:hAnsi="Times New Roman" w:eastAsia="宋体" w:cs="Times New Roman"/>
                      <w:color w:val="auto"/>
                    </w:rPr>
                  </w:pPr>
                </w:p>
              </w:tc>
              <w:tc>
                <w:tcPr>
                  <w:tcW w:w="1451"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SS</w:t>
                  </w:r>
                </w:p>
              </w:tc>
              <w:tc>
                <w:tcPr>
                  <w:tcW w:w="1287"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300</w:t>
                  </w:r>
                </w:p>
              </w:tc>
              <w:tc>
                <w:tcPr>
                  <w:tcW w:w="146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0.51</w:t>
                  </w:r>
                </w:p>
              </w:tc>
              <w:tc>
                <w:tcPr>
                  <w:tcW w:w="904" w:type="dxa"/>
                  <w:vMerge w:val="continue"/>
                  <w:noWrap w:val="0"/>
                  <w:vAlign w:val="center"/>
                </w:tcPr>
                <w:p>
                  <w:pPr>
                    <w:pStyle w:val="32"/>
                    <w:bidi w:val="0"/>
                    <w:rPr>
                      <w:rFonts w:hint="default" w:ascii="Times New Roman" w:hAnsi="Times New Roman" w:eastAsia="宋体" w:cs="Times New Roman"/>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5" w:type="dxa"/>
                  <w:vMerge w:val="continue"/>
                  <w:noWrap w:val="0"/>
                  <w:vAlign w:val="center"/>
                </w:tcPr>
                <w:p>
                  <w:pPr>
                    <w:pStyle w:val="32"/>
                    <w:bidi w:val="0"/>
                    <w:rPr>
                      <w:rFonts w:hint="default" w:ascii="Times New Roman" w:hAnsi="Times New Roman" w:eastAsia="宋体" w:cs="Times New Roman"/>
                      <w:color w:val="auto"/>
                    </w:rPr>
                  </w:pPr>
                </w:p>
              </w:tc>
              <w:tc>
                <w:tcPr>
                  <w:tcW w:w="1709" w:type="dxa"/>
                  <w:vMerge w:val="continue"/>
                  <w:noWrap w:val="0"/>
                  <w:vAlign w:val="center"/>
                </w:tcPr>
                <w:p>
                  <w:pPr>
                    <w:pStyle w:val="32"/>
                    <w:bidi w:val="0"/>
                    <w:rPr>
                      <w:rFonts w:hint="default" w:ascii="Times New Roman" w:hAnsi="Times New Roman" w:eastAsia="宋体" w:cs="Times New Roman"/>
                      <w:color w:val="auto"/>
                    </w:rPr>
                  </w:pPr>
                </w:p>
              </w:tc>
              <w:tc>
                <w:tcPr>
                  <w:tcW w:w="965" w:type="dxa"/>
                  <w:vMerge w:val="continue"/>
                  <w:noWrap w:val="0"/>
                  <w:vAlign w:val="center"/>
                </w:tcPr>
                <w:p>
                  <w:pPr>
                    <w:pStyle w:val="32"/>
                    <w:bidi w:val="0"/>
                    <w:rPr>
                      <w:rFonts w:hint="default" w:ascii="Times New Roman" w:hAnsi="Times New Roman" w:eastAsia="宋体" w:cs="Times New Roman"/>
                      <w:color w:val="auto"/>
                    </w:rPr>
                  </w:pPr>
                </w:p>
              </w:tc>
              <w:tc>
                <w:tcPr>
                  <w:tcW w:w="973" w:type="dxa"/>
                  <w:vMerge w:val="continue"/>
                  <w:noWrap w:val="0"/>
                  <w:vAlign w:val="center"/>
                </w:tcPr>
                <w:p>
                  <w:pPr>
                    <w:pStyle w:val="32"/>
                    <w:bidi w:val="0"/>
                    <w:rPr>
                      <w:rFonts w:hint="default" w:ascii="Times New Roman" w:hAnsi="Times New Roman" w:eastAsia="宋体" w:cs="Times New Roman"/>
                      <w:color w:val="auto"/>
                    </w:rPr>
                  </w:pPr>
                </w:p>
              </w:tc>
              <w:tc>
                <w:tcPr>
                  <w:tcW w:w="1451"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动植物油</w:t>
                  </w:r>
                </w:p>
              </w:tc>
              <w:tc>
                <w:tcPr>
                  <w:tcW w:w="1287"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w:t>
                  </w:r>
                </w:p>
              </w:tc>
              <w:tc>
                <w:tcPr>
                  <w:tcW w:w="146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w:t>
                  </w:r>
                </w:p>
              </w:tc>
              <w:tc>
                <w:tcPr>
                  <w:tcW w:w="904" w:type="dxa"/>
                  <w:vMerge w:val="continue"/>
                  <w:noWrap w:val="0"/>
                  <w:vAlign w:val="center"/>
                </w:tcPr>
                <w:p>
                  <w:pPr>
                    <w:pStyle w:val="32"/>
                    <w:bidi w:val="0"/>
                    <w:rPr>
                      <w:rFonts w:hint="default" w:ascii="Times New Roman" w:hAnsi="Times New Roman" w:eastAsia="宋体" w:cs="Times New Roman"/>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5" w:type="dxa"/>
                  <w:vMerge w:val="restart"/>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1709" w:type="dxa"/>
                  <w:vMerge w:val="restart"/>
                  <w:noWrap w:val="0"/>
                  <w:vAlign w:val="center"/>
                </w:tcPr>
                <w:p>
                  <w:pPr>
                    <w:pStyle w:val="32"/>
                    <w:bidi w:val="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生产废水</w:t>
                  </w:r>
                </w:p>
              </w:tc>
              <w:tc>
                <w:tcPr>
                  <w:tcW w:w="965" w:type="dxa"/>
                  <w:vMerge w:val="restart"/>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17.7</w:t>
                  </w:r>
                </w:p>
              </w:tc>
              <w:tc>
                <w:tcPr>
                  <w:tcW w:w="973" w:type="dxa"/>
                  <w:vMerge w:val="restart"/>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6318.9</w:t>
                  </w:r>
                </w:p>
              </w:tc>
              <w:tc>
                <w:tcPr>
                  <w:tcW w:w="1451"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COD</w:t>
                  </w:r>
                </w:p>
              </w:tc>
              <w:tc>
                <w:tcPr>
                  <w:tcW w:w="1287"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3290</w:t>
                  </w:r>
                </w:p>
              </w:tc>
              <w:tc>
                <w:tcPr>
                  <w:tcW w:w="1461"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19.7</w:t>
                  </w:r>
                </w:p>
              </w:tc>
              <w:tc>
                <w:tcPr>
                  <w:tcW w:w="904" w:type="dxa"/>
                  <w:vMerge w:val="restart"/>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间断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5" w:type="dxa"/>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1709" w:type="dxa"/>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965" w:type="dxa"/>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973" w:type="dxa"/>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145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287"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800</w:t>
                  </w:r>
                </w:p>
              </w:tc>
              <w:tc>
                <w:tcPr>
                  <w:tcW w:w="146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4.8</w:t>
                  </w:r>
                </w:p>
              </w:tc>
              <w:tc>
                <w:tcPr>
                  <w:tcW w:w="904" w:type="dxa"/>
                  <w:vMerge w:val="continue"/>
                  <w:noWrap w:val="0"/>
                  <w:vAlign w:val="center"/>
                </w:tcPr>
                <w:p>
                  <w:pPr>
                    <w:pStyle w:val="32"/>
                    <w:bidi w:val="0"/>
                    <w:rPr>
                      <w:rFonts w:hint="default" w:ascii="Times New Roman" w:hAnsi="Times New Roman" w:eastAsia="宋体" w:cs="Times New Roman"/>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5" w:type="dxa"/>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1709" w:type="dxa"/>
                  <w:vMerge w:val="continue"/>
                  <w:noWrap w:val="0"/>
                  <w:vAlign w:val="center"/>
                </w:tcPr>
                <w:p>
                  <w:pPr>
                    <w:pStyle w:val="32"/>
                    <w:bidi w:val="0"/>
                    <w:rPr>
                      <w:rFonts w:hint="default" w:ascii="Times New Roman" w:hAnsi="Times New Roman" w:eastAsia="宋体" w:cs="Times New Roman"/>
                      <w:color w:val="auto"/>
                    </w:rPr>
                  </w:pPr>
                </w:p>
              </w:tc>
              <w:tc>
                <w:tcPr>
                  <w:tcW w:w="965" w:type="dxa"/>
                  <w:vMerge w:val="continue"/>
                  <w:noWrap w:val="0"/>
                  <w:vAlign w:val="center"/>
                </w:tcPr>
                <w:p>
                  <w:pPr>
                    <w:pStyle w:val="32"/>
                    <w:bidi w:val="0"/>
                    <w:rPr>
                      <w:rFonts w:hint="default" w:ascii="Times New Roman" w:hAnsi="Times New Roman" w:eastAsia="宋体" w:cs="Times New Roman"/>
                      <w:color w:val="auto"/>
                    </w:rPr>
                  </w:pPr>
                </w:p>
              </w:tc>
              <w:tc>
                <w:tcPr>
                  <w:tcW w:w="973" w:type="dxa"/>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145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w:t>
                  </w:r>
                </w:p>
              </w:tc>
              <w:tc>
                <w:tcPr>
                  <w:tcW w:w="1287"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78</w:t>
                  </w:r>
                </w:p>
              </w:tc>
              <w:tc>
                <w:tcPr>
                  <w:tcW w:w="146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w:t>
                  </w:r>
                </w:p>
              </w:tc>
              <w:tc>
                <w:tcPr>
                  <w:tcW w:w="904" w:type="dxa"/>
                  <w:vMerge w:val="continue"/>
                  <w:noWrap w:val="0"/>
                  <w:vAlign w:val="center"/>
                </w:tcPr>
                <w:p>
                  <w:pPr>
                    <w:pStyle w:val="32"/>
                    <w:bidi w:val="0"/>
                    <w:rPr>
                      <w:rFonts w:hint="default" w:ascii="Times New Roman" w:hAnsi="Times New Roman" w:eastAsia="宋体" w:cs="Times New Roman"/>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5" w:type="dxa"/>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1709" w:type="dxa"/>
                  <w:vMerge w:val="continue"/>
                  <w:noWrap w:val="0"/>
                  <w:vAlign w:val="center"/>
                </w:tcPr>
                <w:p>
                  <w:pPr>
                    <w:pStyle w:val="32"/>
                    <w:bidi w:val="0"/>
                    <w:rPr>
                      <w:rFonts w:hint="default" w:ascii="Times New Roman" w:hAnsi="Times New Roman" w:eastAsia="宋体" w:cs="Times New Roman"/>
                      <w:color w:val="auto"/>
                    </w:rPr>
                  </w:pPr>
                </w:p>
              </w:tc>
              <w:tc>
                <w:tcPr>
                  <w:tcW w:w="965" w:type="dxa"/>
                  <w:vMerge w:val="continue"/>
                  <w:noWrap w:val="0"/>
                  <w:vAlign w:val="center"/>
                </w:tcPr>
                <w:p>
                  <w:pPr>
                    <w:pStyle w:val="32"/>
                    <w:bidi w:val="0"/>
                    <w:rPr>
                      <w:rFonts w:hint="default" w:ascii="Times New Roman" w:hAnsi="Times New Roman" w:eastAsia="宋体" w:cs="Times New Roman"/>
                      <w:color w:val="auto"/>
                    </w:rPr>
                  </w:pPr>
                </w:p>
              </w:tc>
              <w:tc>
                <w:tcPr>
                  <w:tcW w:w="973" w:type="dxa"/>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145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SS</w:t>
                  </w:r>
                </w:p>
              </w:tc>
              <w:tc>
                <w:tcPr>
                  <w:tcW w:w="1287"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1140</w:t>
                  </w:r>
                </w:p>
              </w:tc>
              <w:tc>
                <w:tcPr>
                  <w:tcW w:w="146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6.8</w:t>
                  </w:r>
                </w:p>
              </w:tc>
              <w:tc>
                <w:tcPr>
                  <w:tcW w:w="904" w:type="dxa"/>
                  <w:vMerge w:val="continue"/>
                  <w:noWrap w:val="0"/>
                  <w:vAlign w:val="center"/>
                </w:tcPr>
                <w:p>
                  <w:pPr>
                    <w:pStyle w:val="32"/>
                    <w:bidi w:val="0"/>
                    <w:rPr>
                      <w:rFonts w:hint="default" w:ascii="Times New Roman" w:hAnsi="Times New Roman" w:eastAsia="宋体" w:cs="Times New Roman"/>
                      <w:color w:val="auto"/>
                    </w:rPr>
                  </w:pPr>
                </w:p>
              </w:tc>
            </w:tr>
          </w:tbl>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w:t>
            </w:r>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 xml:space="preserve">  项目废水处理及排放情况</w:t>
            </w:r>
          </w:p>
          <w:tbl>
            <w:tblPr>
              <w:tblStyle w:val="24"/>
              <w:tblW w:w="929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6"/>
              <w:gridCol w:w="1920"/>
              <w:gridCol w:w="1056"/>
              <w:gridCol w:w="960"/>
              <w:gridCol w:w="1068"/>
              <w:gridCol w:w="1032"/>
              <w:gridCol w:w="11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6"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废水类型</w:t>
                  </w:r>
                </w:p>
              </w:tc>
              <w:tc>
                <w:tcPr>
                  <w:tcW w:w="192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产排情况</w:t>
                  </w:r>
                </w:p>
              </w:tc>
              <w:tc>
                <w:tcPr>
                  <w:tcW w:w="1056"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96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068"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032"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113"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生活污水+食堂废水处理前</w:t>
                  </w:r>
                  <w:r>
                    <w:rPr>
                      <w:rFonts w:hint="default" w:ascii="Times New Roman" w:hAnsi="Times New Roman" w:eastAsia="宋体" w:cs="Times New Roman"/>
                      <w:color w:val="auto"/>
                      <w:sz w:val="21"/>
                      <w:szCs w:val="21"/>
                      <w:lang w:val="en-US" w:eastAsia="zh-CN"/>
                    </w:rPr>
                    <w:t>1713.6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产生浓度（mg/L）</w:t>
                  </w:r>
                </w:p>
              </w:tc>
              <w:tc>
                <w:tcPr>
                  <w:tcW w:w="105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106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03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11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214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105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0.32</w:t>
                  </w: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0.19</w:t>
                  </w:r>
                </w:p>
              </w:tc>
              <w:tc>
                <w:tcPr>
                  <w:tcW w:w="10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0.02</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0.19</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油水分离器+</w:t>
                  </w:r>
                  <w:r>
                    <w:rPr>
                      <w:rFonts w:hint="default" w:ascii="Times New Roman" w:hAnsi="Times New Roman" w:eastAsia="宋体" w:cs="Times New Roman"/>
                      <w:color w:val="auto"/>
                      <w:sz w:val="21"/>
                      <w:szCs w:val="21"/>
                    </w:rPr>
                    <w:t>化粪池处理</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处理率%</w:t>
                  </w:r>
                </w:p>
              </w:tc>
              <w:tc>
                <w:tcPr>
                  <w:tcW w:w="105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06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3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1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削减量（t/a）</w:t>
                  </w:r>
                </w:p>
              </w:tc>
              <w:tc>
                <w:tcPr>
                  <w:tcW w:w="105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0.13</w:t>
                  </w: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10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生活污水+食堂废水处理后</w:t>
                  </w:r>
                  <w:r>
                    <w:rPr>
                      <w:rFonts w:hint="default" w:ascii="Times New Roman" w:hAnsi="Times New Roman" w:eastAsia="宋体" w:cs="Times New Roman"/>
                      <w:color w:val="auto"/>
                      <w:sz w:val="21"/>
                      <w:szCs w:val="21"/>
                      <w:lang w:val="en-US" w:eastAsia="zh-CN"/>
                    </w:rPr>
                    <w:t>1713.6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排放浓度（mg/L）</w:t>
                  </w:r>
                </w:p>
              </w:tc>
              <w:tc>
                <w:tcPr>
                  <w:tcW w:w="105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426.0</w:t>
                  </w: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268.4</w:t>
                  </w:r>
                </w:p>
              </w:tc>
              <w:tc>
                <w:tcPr>
                  <w:tcW w:w="10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28.0</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210.1</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105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0.73</w:t>
                  </w: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0.46</w:t>
                  </w:r>
                </w:p>
              </w:tc>
              <w:tc>
                <w:tcPr>
                  <w:tcW w:w="10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0.048</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0.36</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生产废水处理前</w:t>
                  </w:r>
                  <w:r>
                    <w:rPr>
                      <w:rFonts w:hint="default" w:ascii="Times New Roman" w:hAnsi="Times New Roman" w:eastAsia="宋体" w:cs="Times New Roman"/>
                      <w:color w:val="auto"/>
                      <w:sz w:val="21"/>
                      <w:szCs w:val="21"/>
                      <w:highlight w:val="none"/>
                      <w:lang w:val="en-US" w:eastAsia="zh-CN"/>
                    </w:rPr>
                    <w:t>6318.9</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产生浓度（mg/L）</w:t>
                  </w:r>
                </w:p>
              </w:tc>
              <w:tc>
                <w:tcPr>
                  <w:tcW w:w="105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3290</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800</w:t>
                  </w:r>
                </w:p>
              </w:tc>
              <w:tc>
                <w:tcPr>
                  <w:tcW w:w="106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w:t>
                  </w:r>
                </w:p>
              </w:tc>
              <w:tc>
                <w:tcPr>
                  <w:tcW w:w="103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1140</w:t>
                  </w:r>
                </w:p>
              </w:tc>
              <w:tc>
                <w:tcPr>
                  <w:tcW w:w="11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1" w:hRule="atLeast"/>
                <w:jc w:val="center"/>
              </w:trPr>
              <w:tc>
                <w:tcPr>
                  <w:tcW w:w="214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20.8</w:t>
                  </w:r>
                </w:p>
              </w:tc>
              <w:tc>
                <w:tcPr>
                  <w:tcW w:w="9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5.1</w:t>
                  </w:r>
                </w:p>
              </w:tc>
              <w:tc>
                <w:tcPr>
                  <w:tcW w:w="10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0.5</w:t>
                  </w:r>
                </w:p>
              </w:tc>
              <w:tc>
                <w:tcPr>
                  <w:tcW w:w="103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7.2</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地埋式一体式污水处理设备处理（</w:t>
                  </w:r>
                  <w:r>
                    <w:rPr>
                      <w:rFonts w:hint="default" w:ascii="Times New Roman" w:hAnsi="Times New Roman" w:eastAsia="宋体" w:cs="Times New Roman"/>
                      <w:b w:val="0"/>
                      <w:color w:val="auto"/>
                      <w:kern w:val="0"/>
                      <w:sz w:val="21"/>
                      <w:szCs w:val="21"/>
                      <w:lang w:val="en-US" w:eastAsia="zh-CN" w:bidi="ar-SA"/>
                    </w:rPr>
                    <w:t>水解酸化+生物接触氧化</w:t>
                  </w:r>
                  <w:r>
                    <w:rPr>
                      <w:rFonts w:hint="default" w:ascii="Times New Roman" w:hAnsi="Times New Roman" w:eastAsia="宋体" w:cs="Times New Roman"/>
                      <w:color w:val="auto"/>
                      <w:sz w:val="21"/>
                      <w:szCs w:val="21"/>
                      <w:lang w:val="en-US" w:eastAsia="zh-CN"/>
                    </w:rPr>
                    <w:t>）</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处理率%</w:t>
                  </w:r>
                </w:p>
              </w:tc>
              <w:tc>
                <w:tcPr>
                  <w:tcW w:w="105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w:t>
                  </w: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92.0</w:t>
                  </w:r>
                </w:p>
              </w:tc>
              <w:tc>
                <w:tcPr>
                  <w:tcW w:w="10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65.0</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84.0</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削减量（t/a）</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18.1</w:t>
                  </w:r>
                </w:p>
              </w:tc>
              <w:tc>
                <w:tcPr>
                  <w:tcW w:w="9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4.7</w:t>
                  </w:r>
                </w:p>
              </w:tc>
              <w:tc>
                <w:tcPr>
                  <w:tcW w:w="10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0.33</w:t>
                  </w:r>
                </w:p>
              </w:tc>
              <w:tc>
                <w:tcPr>
                  <w:tcW w:w="103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5.7</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214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生产废水处理后</w:t>
                  </w:r>
                  <w:r>
                    <w:rPr>
                      <w:rFonts w:hint="default" w:ascii="Times New Roman" w:hAnsi="Times New Roman" w:eastAsia="宋体" w:cs="Times New Roman"/>
                      <w:color w:val="auto"/>
                      <w:sz w:val="21"/>
                      <w:szCs w:val="21"/>
                      <w:highlight w:val="none"/>
                      <w:lang w:val="en-US" w:eastAsia="zh-CN"/>
                    </w:rPr>
                    <w:t>6318.9</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排放浓度（mg/L）</w:t>
                  </w:r>
                </w:p>
              </w:tc>
              <w:tc>
                <w:tcPr>
                  <w:tcW w:w="105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450.2</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66.7</w:t>
                  </w:r>
                </w:p>
              </w:tc>
              <w:tc>
                <w:tcPr>
                  <w:tcW w:w="106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28.3</w:t>
                  </w:r>
                </w:p>
              </w:tc>
              <w:tc>
                <w:tcPr>
                  <w:tcW w:w="103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250.1</w:t>
                  </w:r>
                </w:p>
              </w:tc>
              <w:tc>
                <w:tcPr>
                  <w:tcW w:w="11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6" w:type="dxa"/>
                  <w:vMerge w:val="continue"/>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920"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1056"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960"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c>
                <w:tcPr>
                  <w:tcW w:w="1068"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w:t>
                  </w:r>
                </w:p>
              </w:tc>
              <w:tc>
                <w:tcPr>
                  <w:tcW w:w="1032"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113"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bidi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污染物达标排放</w:t>
            </w:r>
            <w:r>
              <w:rPr>
                <w:rFonts w:hint="default" w:ascii="Times New Roman" w:hAnsi="Times New Roman" w:eastAsia="宋体" w:cs="Times New Roman"/>
                <w:color w:val="auto"/>
                <w:lang w:val="en-US" w:eastAsia="zh-CN"/>
              </w:rPr>
              <w:t>及措施可行性</w:t>
            </w:r>
            <w:r>
              <w:rPr>
                <w:rFonts w:hint="default" w:ascii="Times New Roman" w:hAnsi="Times New Roman" w:eastAsia="宋体" w:cs="Times New Roman"/>
                <w:color w:val="auto"/>
              </w:rPr>
              <w:t>分析</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运营期主要</w:t>
            </w:r>
            <w:r>
              <w:rPr>
                <w:rFonts w:hint="default" w:ascii="Times New Roman" w:hAnsi="Times New Roman" w:eastAsia="宋体" w:cs="Times New Roman"/>
                <w:color w:val="auto"/>
                <w:lang w:val="en-US" w:eastAsia="zh-CN"/>
              </w:rPr>
              <w:t>废水为</w:t>
            </w:r>
            <w:r>
              <w:rPr>
                <w:rFonts w:hint="default" w:ascii="Times New Roman" w:hAnsi="Times New Roman" w:eastAsia="宋体" w:cs="Times New Roman"/>
                <w:color w:val="auto"/>
              </w:rPr>
              <w:t>为员工生活</w:t>
            </w:r>
            <w:r>
              <w:rPr>
                <w:rFonts w:hint="default" w:ascii="Times New Roman" w:hAnsi="Times New Roman" w:eastAsia="宋体" w:cs="Times New Roman"/>
                <w:color w:val="auto"/>
                <w:lang w:val="en-US" w:eastAsia="zh-CN"/>
              </w:rPr>
              <w:t>污水、食堂废水</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生产废水（原料清洗、设备清洗、漂烫废水、冷却清洗废水、地面清洗废水）、纯水制备浓水、锅炉排污水。</w:t>
            </w:r>
          </w:p>
          <w:p>
            <w:pPr>
              <w:bidi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食堂废水经油水分离器处理后同生活污水排入厂区拟设置的化粪池进行处理，处理后的浓度可以达到《污水综合排放标准》（GB8978-1996）</w:t>
            </w:r>
            <w:r>
              <w:rPr>
                <w:rFonts w:hint="default" w:ascii="Times New Roman" w:hAnsi="Times New Roman" w:eastAsia="宋体" w:cs="Times New Roman"/>
                <w:color w:val="auto"/>
                <w:lang w:val="en-US" w:eastAsia="zh-CN"/>
              </w:rPr>
              <w:t>三</w:t>
            </w:r>
            <w:r>
              <w:rPr>
                <w:rFonts w:hint="default" w:ascii="Times New Roman" w:hAnsi="Times New Roman" w:eastAsia="宋体" w:cs="Times New Roman"/>
                <w:color w:val="auto"/>
              </w:rPr>
              <w:t>级标准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排入</w:t>
            </w:r>
            <w:r>
              <w:rPr>
                <w:rFonts w:hint="default" w:ascii="Times New Roman" w:hAnsi="Times New Roman" w:eastAsia="宋体" w:cs="Times New Roman"/>
                <w:color w:val="auto"/>
                <w:lang w:eastAsia="zh-CN"/>
              </w:rPr>
              <w:t>园区污水</w:t>
            </w:r>
            <w:r>
              <w:rPr>
                <w:rFonts w:hint="default" w:ascii="Times New Roman" w:hAnsi="Times New Roman" w:eastAsia="宋体" w:cs="Times New Roman"/>
                <w:color w:val="auto"/>
              </w:rPr>
              <w:t>管网，最终排入</w:t>
            </w:r>
            <w:r>
              <w:rPr>
                <w:rFonts w:hint="default" w:ascii="Times New Roman" w:hAnsi="Times New Roman" w:eastAsia="宋体" w:cs="Times New Roman"/>
                <w:color w:val="auto"/>
                <w:lang w:eastAsia="zh-CN"/>
              </w:rPr>
              <w:t>和政县污水处理厂</w:t>
            </w:r>
            <w:r>
              <w:rPr>
                <w:rFonts w:hint="default" w:ascii="Times New Roman" w:hAnsi="Times New Roman" w:eastAsia="宋体" w:cs="Times New Roman"/>
                <w:color w:val="auto"/>
              </w:rPr>
              <w:t>。</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生产废水经拟设置的地埋一体式污水处理设备处理</w:t>
            </w:r>
            <w:r>
              <w:rPr>
                <w:rFonts w:hint="default" w:ascii="Times New Roman" w:hAnsi="Times New Roman" w:eastAsia="宋体" w:cs="Times New Roman"/>
                <w:color w:val="auto"/>
              </w:rPr>
              <w:t>后的浓度可以达到《污水综合排放标准》（GB8978-1996）</w:t>
            </w:r>
            <w:r>
              <w:rPr>
                <w:rFonts w:hint="default" w:ascii="Times New Roman" w:hAnsi="Times New Roman" w:eastAsia="宋体" w:cs="Times New Roman"/>
                <w:color w:val="auto"/>
                <w:lang w:val="en-US" w:eastAsia="zh-CN"/>
              </w:rPr>
              <w:t>三</w:t>
            </w:r>
            <w:r>
              <w:rPr>
                <w:rFonts w:hint="default" w:ascii="Times New Roman" w:hAnsi="Times New Roman" w:eastAsia="宋体" w:cs="Times New Roman"/>
                <w:color w:val="auto"/>
              </w:rPr>
              <w:t>级标准</w:t>
            </w:r>
            <w:r>
              <w:rPr>
                <w:rFonts w:hint="default" w:ascii="Times New Roman" w:hAnsi="Times New Roman" w:eastAsia="宋体" w:cs="Times New Roman"/>
                <w:color w:val="auto"/>
                <w:lang w:val="en-US" w:eastAsia="zh-CN"/>
              </w:rPr>
              <w:t>排入园区污水管网，最终进入和政县污水处理厂</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项目自建地埋一体式污水处理设备处理工艺为“水解酸化+生物接触氧化”工艺，详见图4-1。</w:t>
            </w:r>
          </w:p>
          <w:p>
            <w:pPr>
              <w:bidi w:val="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生产废水进入调节池调节水量和水质，用泵按照设定流量稳定抽入水解酸化池，分解大分子有机物以利于后续生物处理，然后自流进入接触氧化池，氧化池回流的硝化液混合脱氮去除氨氮，一方面去除COD，另一方面将氨氮氧化为硝酸盐和亚硝酸盐，混合液回流至厌氧池脱氮。经过处理，本项目产生的污水中污染物浓度大大降低</w:t>
            </w:r>
            <w:r>
              <w:rPr>
                <w:rFonts w:hint="default" w:ascii="Times New Roman" w:hAnsi="Times New Roman" w:eastAsia="宋体" w:cs="Times New Roman"/>
                <w:color w:val="auto"/>
                <w:lang w:eastAsia="zh-CN"/>
              </w:rPr>
              <w:t>。</w:t>
            </w:r>
          </w:p>
          <w:p>
            <w:pPr>
              <w:bidi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污水处理系统</w:t>
            </w:r>
            <w:r>
              <w:rPr>
                <w:rFonts w:hint="default" w:ascii="Times New Roman" w:hAnsi="Times New Roman" w:eastAsia="宋体" w:cs="Times New Roman"/>
                <w:color w:val="auto"/>
                <w:lang w:val="en-US" w:eastAsia="zh-CN"/>
              </w:rPr>
              <w:t>各污染物处理效率取值依据《水解酸化反应器污水处理工程技术规范》（HJ 2047-2015）以及《生物接触氧化法污水处理工程技术规范》（HJ 2009-2011），本项目</w:t>
            </w:r>
            <w:r>
              <w:rPr>
                <w:rFonts w:hint="default" w:ascii="Times New Roman" w:hAnsi="Times New Roman" w:eastAsia="宋体" w:cs="Times New Roman"/>
                <w:color w:val="auto"/>
              </w:rPr>
              <w:t>COD</w:t>
            </w:r>
            <w:r>
              <w:rPr>
                <w:rFonts w:hint="default" w:ascii="Times New Roman" w:hAnsi="Times New Roman" w:eastAsia="宋体" w:cs="Times New Roman"/>
                <w:color w:val="auto"/>
                <w:lang w:val="en-US" w:eastAsia="zh-CN"/>
              </w:rPr>
              <w:t>综合</w:t>
            </w:r>
            <w:r>
              <w:rPr>
                <w:rFonts w:hint="default" w:ascii="Times New Roman" w:hAnsi="Times New Roman" w:eastAsia="宋体" w:cs="Times New Roman"/>
                <w:color w:val="auto"/>
              </w:rPr>
              <w:t>去除效率为</w:t>
            </w:r>
            <w:r>
              <w:rPr>
                <w:rFonts w:hint="default" w:ascii="Times New Roman" w:hAnsi="Times New Roman" w:eastAsia="宋体" w:cs="Times New Roman"/>
                <w:color w:val="auto"/>
                <w:lang w:val="en-US" w:eastAsia="zh-CN"/>
              </w:rPr>
              <w:t>87</w:t>
            </w:r>
            <w:r>
              <w:rPr>
                <w:rFonts w:hint="default" w:ascii="Times New Roman" w:hAnsi="Times New Roman" w:eastAsia="宋体" w:cs="Times New Roman"/>
                <w:color w:val="auto"/>
              </w:rPr>
              <w:t>%左右，BOD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lang w:val="en-US" w:eastAsia="zh-CN"/>
              </w:rPr>
              <w:t>综合</w:t>
            </w:r>
            <w:r>
              <w:rPr>
                <w:rFonts w:hint="default" w:ascii="Times New Roman" w:hAnsi="Times New Roman" w:eastAsia="宋体" w:cs="Times New Roman"/>
                <w:color w:val="auto"/>
              </w:rPr>
              <w:t>去除效率大约在</w:t>
            </w:r>
            <w:r>
              <w:rPr>
                <w:rFonts w:hint="default" w:ascii="Times New Roman" w:hAnsi="Times New Roman" w:eastAsia="宋体" w:cs="Times New Roman"/>
                <w:color w:val="auto"/>
                <w:lang w:val="en-US" w:eastAsia="zh-CN"/>
              </w:rPr>
              <w:t>92</w:t>
            </w:r>
            <w:r>
              <w:rPr>
                <w:rFonts w:hint="default" w:ascii="Times New Roman" w:hAnsi="Times New Roman" w:eastAsia="宋体" w:cs="Times New Roman"/>
                <w:color w:val="auto"/>
              </w:rPr>
              <w:t>%左右，</w:t>
            </w:r>
            <w:r>
              <w:rPr>
                <w:rFonts w:hint="default" w:ascii="Times New Roman" w:hAnsi="Times New Roman" w:eastAsia="宋体" w:cs="Times New Roman"/>
                <w:color w:val="auto"/>
                <w:lang w:val="en-US" w:eastAsia="zh-CN"/>
              </w:rPr>
              <w:t>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-N综合去除率为65%，SS的综合去除率大约在84%左右</w:t>
            </w:r>
            <w:r>
              <w:rPr>
                <w:rFonts w:hint="default" w:ascii="Times New Roman" w:hAnsi="Times New Roman" w:eastAsia="宋体" w:cs="Times New Roman"/>
                <w:color w:val="auto"/>
              </w:rPr>
              <w:t>。</w:t>
            </w:r>
          </w:p>
          <w:p>
            <w:pPr>
              <w:bidi w:val="0"/>
              <w:rPr>
                <w:rFonts w:hint="default" w:ascii="Times New Roman" w:hAnsi="Times New Roman" w:eastAsia="宋体" w:cs="Times New Roman"/>
                <w:color w:val="auto"/>
                <w:lang w:val="en-US" w:eastAsia="zh-CN"/>
              </w:rPr>
            </w:pPr>
          </w:p>
          <w:p>
            <w:pPr>
              <w:bidi w:val="0"/>
              <w:rPr>
                <w:rFonts w:hint="default" w:ascii="Times New Roman" w:hAnsi="Times New Roman" w:eastAsia="宋体" w:cs="Times New Roman"/>
                <w:color w:val="auto"/>
                <w:lang w:val="en-US" w:eastAsia="zh-CN"/>
              </w:rPr>
            </w:pPr>
          </w:p>
          <w:p>
            <w:pPr>
              <w:bidi w:val="0"/>
              <w:rPr>
                <w:rFonts w:hint="default" w:ascii="Times New Roman" w:hAnsi="Times New Roman" w:eastAsia="宋体" w:cs="Times New Roman"/>
                <w:color w:val="auto"/>
                <w:lang w:val="en-US" w:eastAsia="zh-CN"/>
              </w:rPr>
            </w:pPr>
          </w:p>
          <w:p>
            <w:pPr>
              <w:bidi w:val="0"/>
              <w:rPr>
                <w:rFonts w:hint="default" w:ascii="Times New Roman" w:hAnsi="Times New Roman" w:eastAsia="宋体" w:cs="Times New Roman"/>
                <w:color w:val="auto"/>
                <w:lang w:val="en-US" w:eastAsia="zh-CN"/>
              </w:rPr>
            </w:pPr>
          </w:p>
          <w:p>
            <w:pPr>
              <w:widowControl w:val="0"/>
              <w:spacing w:line="360" w:lineRule="auto"/>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object>
                <v:shape id="_x0000_i1030" o:spt="75" type="#_x0000_t75" style="height:147.4pt;width:464.35pt;" o:ole="t" filled="f" o:preferrelative="t" stroked="t" coordsize="21600,21600">
                  <v:path/>
                  <v:fill on="f" focussize="0,0"/>
                  <v:stroke color="#000000"/>
                  <v:imagedata r:id="rId19" o:title=""/>
                  <o:lock v:ext="edit" aspectratio="f"/>
                  <w10:wrap type="none"/>
                  <w10:anchorlock/>
                </v:shape>
                <o:OLEObject Type="Embed" ProgID="Visio.Drawing.11" ShapeID="_x0000_i1030" DrawAspect="Content" ObjectID="_1468075730" r:id="rId18">
                  <o:LockedField>false</o:LockedField>
                </o:OLEObject>
              </w:object>
            </w:r>
            <w:r>
              <w:rPr>
                <w:rFonts w:hint="default" w:ascii="Times New Roman" w:hAnsi="Times New Roman" w:eastAsia="宋体" w:cs="Times New Roman"/>
                <w:b/>
                <w:bCs/>
                <w:color w:val="auto"/>
                <w:kern w:val="2"/>
                <w:sz w:val="24"/>
                <w:szCs w:val="24"/>
                <w:lang w:val="en-US" w:eastAsia="zh-CN" w:bidi="ar-SA"/>
              </w:rPr>
              <w:t>图4-1  项目一体化污水处理设备工艺流程图</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本项目所采用的“</w:t>
            </w:r>
            <w:r>
              <w:rPr>
                <w:rFonts w:hint="default" w:ascii="Times New Roman" w:hAnsi="Times New Roman" w:eastAsia="宋体" w:cs="Times New Roman"/>
                <w:color w:val="auto"/>
                <w:sz w:val="24"/>
                <w:szCs w:val="24"/>
                <w:lang w:val="en-US" w:eastAsia="zh-CN"/>
              </w:rPr>
              <w:t>水解酸化+生物接触氧化</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处理工艺</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属于</w:t>
            </w:r>
            <w:r>
              <w:rPr>
                <w:rFonts w:hint="default" w:ascii="Times New Roman" w:hAnsi="Times New Roman" w:eastAsia="宋体" w:cs="Times New Roman"/>
                <w:color w:val="auto"/>
                <w:sz w:val="24"/>
                <w:szCs w:val="24"/>
                <w:lang w:val="en-US" w:eastAsia="zh-CN"/>
              </w:rPr>
              <w:t>较为常见的高浓度有机废水处理工艺</w:t>
            </w:r>
            <w:r>
              <w:rPr>
                <w:rFonts w:hint="default" w:ascii="Times New Roman" w:hAnsi="Times New Roman" w:eastAsia="宋体" w:cs="Times New Roman"/>
                <w:color w:val="auto"/>
                <w:kern w:val="0"/>
                <w:sz w:val="24"/>
                <w:szCs w:val="24"/>
                <w:lang w:val="en-US" w:eastAsia="zh-CN" w:bidi="ar-SA"/>
              </w:rPr>
              <w:t>，项目生产废水经处理后可满足</w:t>
            </w:r>
            <w:r>
              <w:rPr>
                <w:rFonts w:hint="default" w:ascii="Times New Roman" w:hAnsi="Times New Roman" w:eastAsia="宋体" w:cs="Times New Roman"/>
                <w:color w:val="auto"/>
                <w:kern w:val="2"/>
                <w:sz w:val="24"/>
                <w:szCs w:val="24"/>
                <w:lang w:val="en-US" w:eastAsia="zh-CN" w:bidi="ar-SA"/>
              </w:rPr>
              <w:t>《污水综合排放标准》（GB8978-1996）三级标准达标排放，项目污水处理措施可行。</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1.3废水排入和政县污水处理厂可行性分析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现场踏勘及调查，目前项目周边配套雨污水管网已建设完成，本项目位于和政县污水处理厂服务范围内。和政县污水处理厂位于和政县县城区东北方向约3km的三合镇虎家村，广通河北岸的河滩地，总占地面积为39亩，于2009年3月13日经甘肃省发展计划委员会甘发改投资批准建设，2012年10月30日正式建成并投入运行，日处理污水设计规模为10000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该污水处理厂于2020年进行提标改造，改造完成后污水处理厂污水排放标准由《城镇污水处理厂污染物排放标准》（GB18918-2002）一级B标准提高至《城镇污水处理厂污染物排放标准》（GB18918-2002）一级A标准，污水处理规模扩大至20000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/d，目前该污水处理厂实施改造完成并投入运行。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项目的污水排放总量较小，各污染物均满足</w:t>
            </w:r>
            <w:r>
              <w:rPr>
                <w:rFonts w:hint="default" w:ascii="Times New Roman" w:hAnsi="Times New Roman" w:eastAsia="宋体" w:cs="Times New Roman"/>
                <w:color w:val="auto"/>
              </w:rPr>
              <w:t>《污水综合排放标准》（GB8978-1996）</w:t>
            </w:r>
            <w:r>
              <w:rPr>
                <w:rFonts w:hint="default" w:ascii="Times New Roman" w:hAnsi="Times New Roman" w:eastAsia="宋体" w:cs="Times New Roman"/>
                <w:color w:val="auto"/>
                <w:lang w:val="en-US" w:eastAsia="zh-CN"/>
              </w:rPr>
              <w:t>三</w:t>
            </w:r>
            <w:r>
              <w:rPr>
                <w:rFonts w:hint="default" w:ascii="Times New Roman" w:hAnsi="Times New Roman" w:eastAsia="宋体" w:cs="Times New Roman"/>
                <w:color w:val="auto"/>
              </w:rPr>
              <w:t>级标准</w:t>
            </w:r>
            <w:r>
              <w:rPr>
                <w:rFonts w:hint="default" w:ascii="Times New Roman" w:hAnsi="Times New Roman" w:eastAsia="宋体" w:cs="Times New Roman"/>
                <w:color w:val="auto"/>
                <w:lang w:val="en-US" w:eastAsia="zh-CN"/>
              </w:rPr>
              <w:t>后排入市政管网，完全可以满足和政县污水处理厂污水的纳水水质要求，废水排入和政县污水处理厂进一步处理是可行的。</w:t>
            </w:r>
          </w:p>
          <w:p>
            <w:pPr>
              <w:adjustRightInd w:val="0"/>
              <w:snapToGrid w:val="0"/>
              <w:spacing w:before="120" w:beforeLines="50"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1.4废水排放口</w:t>
            </w:r>
          </w:p>
          <w:p>
            <w:pPr>
              <w:adjustRightInd w:val="0"/>
              <w:snapToGrid w:val="0"/>
              <w:spacing w:before="120" w:beforeLines="50"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表4-5  废水间接排放口基本情况</w:t>
            </w:r>
          </w:p>
          <w:tbl>
            <w:tblPr>
              <w:tblStyle w:val="25"/>
              <w:tblW w:w="929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930"/>
              <w:gridCol w:w="1005"/>
              <w:gridCol w:w="1035"/>
              <w:gridCol w:w="980"/>
              <w:gridCol w:w="732"/>
              <w:gridCol w:w="1548"/>
              <w:gridCol w:w="1045"/>
              <w:gridCol w:w="12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74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排放口编号</w:t>
                  </w:r>
                </w:p>
              </w:tc>
              <w:tc>
                <w:tcPr>
                  <w:tcW w:w="193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地理坐标</w:t>
                  </w:r>
                </w:p>
              </w:tc>
              <w:tc>
                <w:tcPr>
                  <w:tcW w:w="10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废水排放量（万t/a）</w:t>
                  </w:r>
                </w:p>
              </w:tc>
              <w:tc>
                <w:tcPr>
                  <w:tcW w:w="98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排放去向</w:t>
                  </w:r>
                </w:p>
              </w:tc>
              <w:tc>
                <w:tcPr>
                  <w:tcW w:w="73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排放方式</w:t>
                  </w:r>
                </w:p>
              </w:tc>
              <w:tc>
                <w:tcPr>
                  <w:tcW w:w="154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排放去向</w:t>
                  </w:r>
                </w:p>
              </w:tc>
              <w:tc>
                <w:tcPr>
                  <w:tcW w:w="232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受纳污水处理厂信息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74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经度</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纬度</w:t>
                  </w: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污染物种类</w:t>
                  </w:r>
                </w:p>
              </w:tc>
              <w:tc>
                <w:tcPr>
                  <w:tcW w:w="12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国家污染物排放限值/（mg/L）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74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DW001</w:t>
                  </w:r>
                </w:p>
              </w:tc>
              <w:tc>
                <w:tcPr>
                  <w:tcW w:w="93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103.365259107</w:t>
                  </w:r>
                </w:p>
              </w:tc>
              <w:tc>
                <w:tcPr>
                  <w:tcW w:w="10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35.412637824</w:t>
                  </w:r>
                </w:p>
              </w:tc>
              <w:tc>
                <w:tcPr>
                  <w:tcW w:w="10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0.064</w:t>
                  </w:r>
                </w:p>
              </w:tc>
              <w:tc>
                <w:tcPr>
                  <w:tcW w:w="98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和政县污水处理厂</w:t>
                  </w:r>
                </w:p>
              </w:tc>
              <w:tc>
                <w:tcPr>
                  <w:tcW w:w="73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连续排放</w:t>
                  </w:r>
                </w:p>
              </w:tc>
              <w:tc>
                <w:tcPr>
                  <w:tcW w:w="154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排入园区污水管网，最后进入和政县污水处理厂</w:t>
                  </w: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pH</w:t>
                  </w:r>
                </w:p>
              </w:tc>
              <w:tc>
                <w:tcPr>
                  <w:tcW w:w="12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6.5~9.5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74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9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12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74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9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2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74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9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2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74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9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SS</w:t>
                  </w:r>
                </w:p>
              </w:tc>
              <w:tc>
                <w:tcPr>
                  <w:tcW w:w="12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74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9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动植物油</w:t>
                  </w:r>
                </w:p>
              </w:tc>
              <w:tc>
                <w:tcPr>
                  <w:tcW w:w="12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74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DW002</w:t>
                  </w:r>
                </w:p>
              </w:tc>
              <w:tc>
                <w:tcPr>
                  <w:tcW w:w="93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103.365948435</w:t>
                  </w:r>
                </w:p>
              </w:tc>
              <w:tc>
                <w:tcPr>
                  <w:tcW w:w="10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35.412283773</w:t>
                  </w:r>
                </w:p>
              </w:tc>
              <w:tc>
                <w:tcPr>
                  <w:tcW w:w="10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0.63</w:t>
                  </w:r>
                </w:p>
              </w:tc>
              <w:tc>
                <w:tcPr>
                  <w:tcW w:w="98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和政县污水处理厂</w:t>
                  </w:r>
                </w:p>
              </w:tc>
              <w:tc>
                <w:tcPr>
                  <w:tcW w:w="73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连续排放</w:t>
                  </w:r>
                </w:p>
              </w:tc>
              <w:tc>
                <w:tcPr>
                  <w:tcW w:w="154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排入园区污水管网，最后进入和政县污水处理厂</w:t>
                  </w: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12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74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9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9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2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74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2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74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12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74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9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pH</w:t>
                  </w:r>
                </w:p>
              </w:tc>
              <w:tc>
                <w:tcPr>
                  <w:tcW w:w="12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6.5~9.5</w:t>
                  </w:r>
                </w:p>
              </w:tc>
            </w:tr>
          </w:tbl>
          <w:p>
            <w:pPr>
              <w:adjustRightInd w:val="0"/>
              <w:snapToGrid w:val="0"/>
              <w:spacing w:before="120" w:beforeLines="50"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1.5监测计划</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根据《排污单位自行监测技术指南  总则》(HJ819-2017)</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kern w:val="0"/>
                <w:sz w:val="24"/>
                <w:highlight w:val="none"/>
              </w:rPr>
              <w:t>结合本项目实际情况，企业运营期废</w:t>
            </w:r>
            <w:r>
              <w:rPr>
                <w:rFonts w:hint="default" w:ascii="Times New Roman" w:hAnsi="Times New Roman" w:eastAsia="宋体" w:cs="Times New Roman"/>
                <w:color w:val="auto"/>
                <w:kern w:val="0"/>
                <w:sz w:val="24"/>
                <w:highlight w:val="none"/>
                <w:lang w:val="en-US" w:eastAsia="zh-CN"/>
              </w:rPr>
              <w:t>水</w:t>
            </w:r>
            <w:r>
              <w:rPr>
                <w:rFonts w:hint="default" w:ascii="Times New Roman" w:hAnsi="Times New Roman" w:eastAsia="宋体" w:cs="Times New Roman"/>
                <w:color w:val="auto"/>
                <w:kern w:val="0"/>
                <w:sz w:val="24"/>
                <w:highlight w:val="none"/>
              </w:rPr>
              <w:t>监测计划见表</w:t>
            </w:r>
            <w:r>
              <w:rPr>
                <w:rFonts w:hint="default" w:ascii="Times New Roman" w:hAnsi="Times New Roman" w:eastAsia="宋体" w:cs="Times New Roman"/>
                <w:color w:val="auto"/>
                <w:kern w:val="0"/>
                <w:sz w:val="24"/>
                <w:highlight w:val="none"/>
                <w:lang w:val="en-US" w:eastAsia="zh-CN"/>
              </w:rPr>
              <w:t>4-6</w:t>
            </w:r>
            <w:r>
              <w:rPr>
                <w:rFonts w:hint="default" w:ascii="Times New Roman" w:hAnsi="Times New Roman" w:eastAsia="宋体" w:cs="Times New Roman"/>
                <w:color w:val="auto"/>
                <w:kern w:val="0"/>
                <w:sz w:val="24"/>
                <w:highlight w:val="none"/>
              </w:rPr>
              <w:t>。</w:t>
            </w:r>
          </w:p>
          <w:p>
            <w:pPr>
              <w:widowControl w:val="0"/>
              <w:spacing w:line="360" w:lineRule="auto"/>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表4-6  废水监测计划</w:t>
            </w:r>
          </w:p>
          <w:tbl>
            <w:tblPr>
              <w:tblStyle w:val="25"/>
              <w:tblW w:w="929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605"/>
              <w:gridCol w:w="3210"/>
              <w:gridCol w:w="1420"/>
              <w:gridCol w:w="18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color w:val="auto"/>
                      <w:kern w:val="0"/>
                      <w:sz w:val="21"/>
                      <w:szCs w:val="21"/>
                      <w:highlight w:val="none"/>
                      <w:lang w:val="en-US" w:eastAsia="zh-CN" w:bidi="ar-SA"/>
                    </w:rPr>
                    <w:t>内容</w:t>
                  </w:r>
                </w:p>
              </w:tc>
              <w:tc>
                <w:tcPr>
                  <w:tcW w:w="160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color w:val="auto"/>
                      <w:kern w:val="0"/>
                      <w:sz w:val="21"/>
                      <w:szCs w:val="21"/>
                      <w:highlight w:val="none"/>
                      <w:lang w:val="en-US" w:eastAsia="zh-CN" w:bidi="ar-SA"/>
                    </w:rPr>
                    <w:t>监测点位</w:t>
                  </w:r>
                </w:p>
              </w:tc>
              <w:tc>
                <w:tcPr>
                  <w:tcW w:w="321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color w:val="auto"/>
                      <w:kern w:val="0"/>
                      <w:sz w:val="21"/>
                      <w:szCs w:val="21"/>
                      <w:highlight w:val="none"/>
                      <w:lang w:val="en-US" w:eastAsia="zh-CN" w:bidi="ar-SA"/>
                    </w:rPr>
                    <w:t>监测因子</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color w:val="auto"/>
                      <w:kern w:val="0"/>
                      <w:sz w:val="21"/>
                      <w:szCs w:val="21"/>
                      <w:highlight w:val="none"/>
                      <w:lang w:val="en-US" w:eastAsia="zh-CN" w:bidi="ar-SA"/>
                    </w:rPr>
                    <w:t>监测频率</w:t>
                  </w:r>
                </w:p>
              </w:tc>
              <w:tc>
                <w:tcPr>
                  <w:tcW w:w="185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color w:val="auto"/>
                      <w:kern w:val="0"/>
                      <w:sz w:val="21"/>
                      <w:szCs w:val="21"/>
                      <w:highlight w:val="none"/>
                      <w:lang w:val="en-US" w:eastAsia="zh-CN" w:bidi="ar-SA"/>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0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160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污水处理设施出水口</w:t>
                  </w:r>
                </w:p>
              </w:tc>
              <w:tc>
                <w:tcPr>
                  <w:tcW w:w="321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流量、pH、化学需氧量、悬浮物、五日生化需氧量</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1次/半年</w:t>
                  </w:r>
                </w:p>
              </w:tc>
              <w:tc>
                <w:tcPr>
                  <w:tcW w:w="185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《污水综合排放标准》（GB8978-1996）三级标准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0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0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化粪池出水口</w:t>
                  </w:r>
                </w:p>
              </w:tc>
              <w:tc>
                <w:tcPr>
                  <w:tcW w:w="321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流量、pH、化学需氧量、悬浮物、五日生化需氧量、动植物油</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1次/半年</w:t>
                  </w:r>
                </w:p>
              </w:tc>
              <w:tc>
                <w:tcPr>
                  <w:tcW w:w="185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bl>
          <w:p>
            <w:pPr>
              <w:adjustRightInd w:val="0"/>
              <w:snapToGrid w:val="0"/>
              <w:spacing w:before="120" w:beforeLines="50"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二、废气污染物</w:t>
            </w:r>
          </w:p>
          <w:p>
            <w:pPr>
              <w:keepNext w:val="0"/>
              <w:keepLines w:val="0"/>
              <w:pageBreakBefore w:val="0"/>
              <w:widowControl w:val="0"/>
              <w:kinsoku/>
              <w:wordWrap/>
              <w:overflowPunct/>
              <w:topLinePunct w:val="0"/>
              <w:autoSpaceDE/>
              <w:autoSpaceDN/>
              <w:bidi w:val="0"/>
              <w:spacing w:after="0" w:line="360" w:lineRule="auto"/>
              <w:ind w:left="0" w:leftChars="0" w:firstLine="480" w:firstLineChars="200"/>
              <w:jc w:val="both"/>
              <w:textAlignment w:val="auto"/>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运营期大气污染物主要为：发酵异味、</w:t>
            </w:r>
            <w:r>
              <w:rPr>
                <w:rFonts w:hint="default" w:ascii="Times New Roman" w:hAnsi="Times New Roman" w:eastAsia="宋体" w:cs="Times New Roman"/>
                <w:b w:val="0"/>
                <w:bCs w:val="0"/>
                <w:color w:val="auto"/>
                <w:kern w:val="0"/>
                <w:sz w:val="24"/>
                <w:szCs w:val="20"/>
                <w:highlight w:val="none"/>
                <w:lang w:val="en-US" w:eastAsia="zh-CN" w:bidi="ar-SA"/>
              </w:rPr>
              <w:t>锅炉废气</w:t>
            </w:r>
            <w:r>
              <w:rPr>
                <w:rFonts w:hint="default" w:ascii="Times New Roman" w:hAnsi="Times New Roman" w:eastAsia="宋体" w:cs="Times New Roman"/>
                <w:color w:val="auto"/>
                <w:kern w:val="0"/>
                <w:sz w:val="24"/>
                <w:szCs w:val="24"/>
                <w:highlight w:val="none"/>
                <w:lang w:val="en-US" w:eastAsia="zh-CN" w:bidi="ar-SA"/>
              </w:rPr>
              <w:t>、面粉投加粉尘、食堂油烟。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eastAsia="zh-CN"/>
              </w:rPr>
              <w:t>发酵异味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本项目在</w:t>
            </w:r>
            <w:r>
              <w:rPr>
                <w:rFonts w:hint="default" w:ascii="Times New Roman" w:hAnsi="Times New Roman" w:eastAsia="宋体" w:cs="Times New Roman"/>
                <w:color w:val="auto"/>
                <w:lang w:val="en-US" w:eastAsia="zh-CN"/>
              </w:rPr>
              <w:t>浆水</w:t>
            </w:r>
            <w:r>
              <w:rPr>
                <w:rFonts w:hint="default" w:ascii="Times New Roman" w:hAnsi="Times New Roman" w:eastAsia="宋体" w:cs="Times New Roman"/>
                <w:color w:val="auto"/>
                <w:lang w:eastAsia="zh-CN"/>
              </w:rPr>
              <w:t>生产过程中会伴有微生物发酵作用，在其发酵过程中不形成任何毒素或毒性产物。主要涉及的变化为乳酸菌分解蔬菜中的单糖、</w:t>
            </w:r>
            <w:r>
              <w:rPr>
                <w:rFonts w:hint="default" w:ascii="Times New Roman" w:hAnsi="Times New Roman" w:eastAsia="宋体" w:cs="Times New Roman"/>
                <w:color w:val="auto"/>
                <w:lang w:val="en-US" w:eastAsia="zh-CN"/>
              </w:rPr>
              <w:t>二糖</w:t>
            </w:r>
            <w:r>
              <w:rPr>
                <w:rFonts w:hint="default" w:ascii="Times New Roman" w:hAnsi="Times New Roman" w:eastAsia="宋体" w:cs="Times New Roman"/>
                <w:color w:val="auto"/>
                <w:lang w:eastAsia="zh-CN"/>
              </w:rPr>
              <w:t>产生的乳酸使PH值下降，发酵产生的二氧化碳使发酵处于厌氧状态，从而阻止食品受其他微生物的侵染和腐败变质，起到延长食品保质期的作用。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根据《</w:t>
            </w:r>
            <w:r>
              <w:rPr>
                <w:rFonts w:hint="default" w:ascii="Times New Roman" w:hAnsi="Times New Roman" w:eastAsia="宋体" w:cs="Times New Roman"/>
                <w:color w:val="auto"/>
                <w:lang w:eastAsia="zh-CN"/>
              </w:rPr>
              <w:t>不同加热处理对浆水挥发性成分变化的影响</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lang w:eastAsia="zh-CN"/>
              </w:rPr>
              <w:t>[J].食品与发酵工业，2017，43(2):115-121</w:t>
            </w:r>
            <w:r>
              <w:rPr>
                <w:rFonts w:hint="default" w:ascii="Times New Roman" w:hAnsi="Times New Roman" w:eastAsia="宋体" w:cs="Times New Roman"/>
                <w:color w:val="auto"/>
                <w:lang w:val="en-US" w:eastAsia="zh-CN"/>
              </w:rPr>
              <w:t>的研究</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浆水</w:t>
            </w:r>
            <w:r>
              <w:rPr>
                <w:rFonts w:hint="default" w:ascii="Times New Roman" w:hAnsi="Times New Roman" w:eastAsia="宋体" w:cs="Times New Roman"/>
                <w:color w:val="auto"/>
                <w:lang w:eastAsia="zh-CN"/>
              </w:rPr>
              <w:t>发酵</w:t>
            </w:r>
            <w:r>
              <w:rPr>
                <w:rFonts w:hint="default" w:ascii="Times New Roman" w:hAnsi="Times New Roman" w:eastAsia="宋体" w:cs="Times New Roman"/>
                <w:color w:val="auto"/>
                <w:lang w:val="en-US" w:eastAsia="zh-CN"/>
              </w:rPr>
              <w:t>会</w:t>
            </w:r>
            <w:r>
              <w:rPr>
                <w:rFonts w:hint="default" w:ascii="Times New Roman" w:hAnsi="Times New Roman" w:eastAsia="宋体" w:cs="Times New Roman"/>
                <w:color w:val="auto"/>
                <w:lang w:eastAsia="zh-CN"/>
              </w:rPr>
              <w:t>产生的</w:t>
            </w:r>
            <w:r>
              <w:rPr>
                <w:rFonts w:hint="default" w:ascii="Times New Roman" w:hAnsi="Times New Roman" w:eastAsia="宋体" w:cs="Times New Roman"/>
                <w:color w:val="auto"/>
                <w:lang w:val="en-US" w:eastAsia="zh-CN"/>
              </w:rPr>
              <w:t>酸类（主要为乙酸、乳酸）</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醇类（主要为乙醇、α-松油醇）、烃类（主要为双戊烯）、醛酮</w:t>
            </w:r>
            <w:r>
              <w:rPr>
                <w:rFonts w:hint="default" w:ascii="Times New Roman" w:hAnsi="Times New Roman" w:eastAsia="宋体" w:cs="Times New Roman"/>
                <w:color w:val="auto"/>
                <w:lang w:eastAsia="zh-CN"/>
              </w:rPr>
              <w:t>类（</w:t>
            </w:r>
            <w:r>
              <w:rPr>
                <w:rFonts w:hint="default" w:ascii="Times New Roman" w:hAnsi="Times New Roman" w:eastAsia="宋体" w:cs="Times New Roman"/>
                <w:color w:val="auto"/>
                <w:lang w:val="en-US" w:eastAsia="zh-CN"/>
              </w:rPr>
              <w:t>主要为</w:t>
            </w:r>
            <w:r>
              <w:rPr>
                <w:rFonts w:hint="default" w:ascii="Times New Roman" w:hAnsi="Times New Roman" w:eastAsia="宋体" w:cs="Times New Roman"/>
                <w:color w:val="auto"/>
                <w:lang w:eastAsia="zh-CN"/>
              </w:rPr>
              <w:t>β</w:t>
            </w:r>
            <w:r>
              <w:rPr>
                <w:rFonts w:hint="default" w:ascii="Times New Roman" w:hAnsi="Times New Roman" w:eastAsia="宋体" w:cs="Times New Roman"/>
                <w:color w:val="auto"/>
                <w:lang w:val="en-US" w:eastAsia="zh-CN"/>
              </w:rPr>
              <w:t>-环柠檬醛</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酯类（主要为乙酸乙酯、乙酸丁酯）</w:t>
            </w:r>
            <w:r>
              <w:rPr>
                <w:rFonts w:hint="default" w:ascii="Times New Roman" w:hAnsi="Times New Roman" w:eastAsia="宋体" w:cs="Times New Roman"/>
                <w:color w:val="auto"/>
                <w:lang w:eastAsia="zh-CN"/>
              </w:rPr>
              <w:t>等赋予了酸菜的风味。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浆水在常温下几乎无挥发性有机物挥发，另外</w:t>
            </w:r>
            <w:r>
              <w:rPr>
                <w:rFonts w:hint="default" w:ascii="Times New Roman" w:hAnsi="Times New Roman" w:eastAsia="宋体" w:cs="Times New Roman"/>
                <w:color w:val="auto"/>
                <w:lang w:eastAsia="zh-CN"/>
              </w:rPr>
              <w:t>从生产工艺及设备上分析可知，生产的发酵过程均在密闭容器和封闭</w:t>
            </w:r>
            <w:r>
              <w:rPr>
                <w:rFonts w:hint="default" w:ascii="Times New Roman" w:hAnsi="Times New Roman" w:eastAsia="宋体" w:cs="Times New Roman"/>
                <w:color w:val="auto"/>
                <w:lang w:val="en-US" w:eastAsia="zh-CN"/>
              </w:rPr>
              <w:t>车间</w:t>
            </w:r>
            <w:r>
              <w:rPr>
                <w:rFonts w:hint="default" w:ascii="Times New Roman" w:hAnsi="Times New Roman" w:eastAsia="宋体" w:cs="Times New Roman"/>
                <w:color w:val="auto"/>
                <w:lang w:eastAsia="zh-CN"/>
              </w:rPr>
              <w:t>内进行，</w:t>
            </w:r>
            <w:r>
              <w:rPr>
                <w:rFonts w:hint="default" w:ascii="Times New Roman" w:hAnsi="Times New Roman" w:eastAsia="宋体" w:cs="Times New Roman"/>
                <w:color w:val="auto"/>
                <w:lang w:val="en-US" w:eastAsia="zh-CN"/>
              </w:rPr>
              <w:t>且发酵时间较短（最长为72h）</w:t>
            </w:r>
            <w:r>
              <w:rPr>
                <w:rFonts w:hint="default" w:ascii="Times New Roman" w:hAnsi="Times New Roman" w:eastAsia="宋体" w:cs="Times New Roman"/>
                <w:color w:val="auto"/>
                <w:lang w:eastAsia="zh-CN"/>
              </w:rPr>
              <w:t>，发酵</w:t>
            </w:r>
            <w:r>
              <w:rPr>
                <w:rFonts w:hint="default" w:ascii="Times New Roman" w:hAnsi="Times New Roman" w:eastAsia="宋体" w:cs="Times New Roman"/>
                <w:color w:val="auto"/>
                <w:lang w:val="en-US" w:eastAsia="zh-CN"/>
              </w:rPr>
              <w:t>缸每批次使用后</w:t>
            </w:r>
            <w:r>
              <w:rPr>
                <w:rFonts w:hint="default" w:ascii="Times New Roman" w:hAnsi="Times New Roman" w:eastAsia="宋体" w:cs="Times New Roman"/>
                <w:color w:val="auto"/>
                <w:lang w:eastAsia="zh-CN"/>
              </w:rPr>
              <w:t>立即清洗，</w:t>
            </w:r>
            <w:r>
              <w:rPr>
                <w:rFonts w:hint="default" w:ascii="Times New Roman" w:hAnsi="Times New Roman" w:eastAsia="宋体" w:cs="Times New Roman"/>
                <w:color w:val="auto"/>
                <w:lang w:val="en-US" w:eastAsia="zh-CN"/>
              </w:rPr>
              <w:t>发酵气体</w:t>
            </w:r>
            <w:r>
              <w:rPr>
                <w:rFonts w:hint="default" w:ascii="Times New Roman" w:hAnsi="Times New Roman" w:eastAsia="宋体" w:cs="Times New Roman"/>
                <w:color w:val="auto"/>
                <w:lang w:eastAsia="zh-CN"/>
              </w:rPr>
              <w:t>产生量较小，</w:t>
            </w:r>
            <w:r>
              <w:rPr>
                <w:rFonts w:hint="default" w:ascii="Times New Roman" w:hAnsi="Times New Roman" w:eastAsia="宋体" w:cs="Times New Roman"/>
                <w:color w:val="auto"/>
                <w:lang w:val="en-US" w:eastAsia="zh-CN"/>
              </w:rPr>
              <w:t>经生产车间空气净化系统以</w:t>
            </w:r>
            <w:r>
              <w:rPr>
                <w:rFonts w:hint="default" w:ascii="Times New Roman" w:hAnsi="Times New Roman" w:eastAsia="宋体" w:cs="Times New Roman"/>
                <w:color w:val="auto"/>
                <w:lang w:eastAsia="zh-CN"/>
              </w:rPr>
              <w:t>无组织排</w:t>
            </w:r>
            <w:r>
              <w:rPr>
                <w:rFonts w:hint="default" w:ascii="Times New Roman" w:hAnsi="Times New Roman" w:eastAsia="宋体" w:cs="Times New Roman"/>
                <w:color w:val="auto"/>
                <w:lang w:val="en-US" w:eastAsia="zh-CN"/>
              </w:rPr>
              <w:t>出车间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发酵异味</w:t>
            </w:r>
            <w:r>
              <w:rPr>
                <w:rFonts w:hint="default" w:ascii="Times New Roman" w:hAnsi="Times New Roman" w:eastAsia="宋体" w:cs="Times New Roman"/>
                <w:color w:val="auto"/>
                <w:lang w:eastAsia="zh-CN"/>
              </w:rPr>
              <w:t>经自然稀释后对环境影响不大。</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（2）面粉投加粉尘</w:t>
            </w:r>
          </w:p>
          <w:p>
            <w:pPr>
              <w:pStyle w:val="34"/>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建设单位提供的设计数据，面粉用量为3袋（50kg）/天，熬制面汤时人工加入到面汤搅拌锅中，投加过程会产生少量颗粒物，以无组织形式排放，因每天使用量较少，投加时间较短，投加时通过缓慢投加，分次投加的方式减少粉尘的排放，因此不做定量分析，产生的无组织粉尘经生产车间空气净化系统以</w:t>
            </w:r>
            <w:r>
              <w:rPr>
                <w:rFonts w:hint="default" w:ascii="Times New Roman" w:hAnsi="Times New Roman" w:eastAsia="宋体" w:cs="Times New Roman"/>
                <w:color w:val="auto"/>
                <w:lang w:eastAsia="zh-CN"/>
              </w:rPr>
              <w:t>无组织排</w:t>
            </w:r>
            <w:r>
              <w:rPr>
                <w:rFonts w:hint="default" w:ascii="Times New Roman" w:hAnsi="Times New Roman" w:eastAsia="宋体" w:cs="Times New Roman"/>
                <w:color w:val="auto"/>
                <w:lang w:val="en-US" w:eastAsia="zh-CN"/>
              </w:rPr>
              <w:t>出车间，</w:t>
            </w:r>
            <w:r>
              <w:rPr>
                <w:rFonts w:hint="default" w:ascii="Times New Roman" w:hAnsi="Times New Roman" w:eastAsia="宋体" w:cs="Times New Roman"/>
                <w:color w:val="auto"/>
                <w:lang w:eastAsia="zh-CN"/>
              </w:rPr>
              <w:t>对环境影响不大。</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（3）锅炉废气</w:t>
            </w:r>
          </w:p>
          <w:p>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拟建项目</w:t>
            </w:r>
            <w:r>
              <w:rPr>
                <w:rFonts w:hint="default" w:ascii="Times New Roman" w:hAnsi="Times New Roman" w:eastAsia="宋体" w:cs="Times New Roman"/>
                <w:color w:val="auto"/>
                <w:lang w:val="en-US" w:eastAsia="zh-CN"/>
              </w:rPr>
              <w:t>漂烫</w:t>
            </w:r>
            <w:r>
              <w:rPr>
                <w:rFonts w:hint="default" w:ascii="Times New Roman" w:hAnsi="Times New Roman" w:eastAsia="宋体" w:cs="Times New Roman"/>
                <w:color w:val="auto"/>
              </w:rPr>
              <w:t>所用热蒸汽由企业设置的1台</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t/h天然气锅炉提供，天然气燃烧过程会产生废气。</w:t>
            </w:r>
          </w:p>
          <w:p>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根据建设单位提供资料，天然气锅炉每天工作时间约为</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年工作时长</w:t>
            </w:r>
            <w:r>
              <w:rPr>
                <w:rFonts w:hint="default" w:ascii="Times New Roman" w:hAnsi="Times New Roman" w:eastAsia="宋体" w:cs="Times New Roman"/>
                <w:color w:val="auto"/>
                <w:sz w:val="24"/>
                <w:szCs w:val="24"/>
                <w:lang w:val="en-US" w:eastAsia="zh-CN"/>
              </w:rPr>
              <w:t>357天</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rPr>
              <w:t>年天然气用量为</w:t>
            </w:r>
            <w:r>
              <w:rPr>
                <w:rFonts w:hint="default" w:ascii="Times New Roman" w:hAnsi="Times New Roman" w:eastAsia="宋体" w:cs="Times New Roman"/>
                <w:color w:val="auto"/>
                <w:lang w:val="en-US" w:eastAsia="zh-CN"/>
              </w:rPr>
              <w:t>67.1</w:t>
            </w:r>
            <w:r>
              <w:rPr>
                <w:rFonts w:hint="default" w:ascii="Times New Roman" w:hAnsi="Times New Roman" w:eastAsia="宋体" w:cs="Times New Roman"/>
                <w:color w:val="auto"/>
              </w:rPr>
              <w:t>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rPr>
              <w:t>。</w:t>
            </w:r>
          </w:p>
          <w:p>
            <w:pPr>
              <w:adjustRightInd w:val="0"/>
              <w:snapToGrid w:val="0"/>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①烟气</w:t>
            </w:r>
          </w:p>
          <w:p>
            <w:pPr>
              <w:widowControl/>
              <w:snapToGrid w:val="0"/>
              <w:spacing w:before="0" w:after="0" w:line="360" w:lineRule="auto"/>
              <w:ind w:right="0"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根据《污染物源强核算指南-锅炉锅炉》（HJ991-2018），单位气体燃料所需的理论空气量按（1）式计算，基准烟气量按（2）计算：</w:t>
            </w:r>
          </w:p>
          <w:p>
            <w:pPr>
              <w:widowControl/>
              <w:snapToGrid w:val="0"/>
              <w:spacing w:before="0" w:after="0" w:line="360" w:lineRule="auto"/>
              <w:ind w:right="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drawing>
                <wp:inline distT="0" distB="0" distL="114300" distR="114300">
                  <wp:extent cx="5044440" cy="434340"/>
                  <wp:effectExtent l="9525" t="9525" r="13335" b="1333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0"/>
                          <a:srcRect b="73985"/>
                          <a:stretch>
                            <a:fillRect/>
                          </a:stretch>
                        </pic:blipFill>
                        <pic:spPr>
                          <a:xfrm>
                            <a:off x="0" y="0"/>
                            <a:ext cx="5044440" cy="434340"/>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公式（1）</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5043170" cy="497840"/>
                  <wp:effectExtent l="9525" t="9525" r="14605" b="2603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1"/>
                          <a:stretch>
                            <a:fillRect/>
                          </a:stretch>
                        </pic:blipFill>
                        <pic:spPr>
                          <a:xfrm>
                            <a:off x="0" y="0"/>
                            <a:ext cx="5043170" cy="497840"/>
                          </a:xfrm>
                          <a:prstGeom prst="rect">
                            <a:avLst/>
                          </a:prstGeom>
                          <a:noFill/>
                          <a:ln w="9525" cap="flat" cmpd="sng">
                            <a:solidFill>
                              <a:srgbClr val="000000"/>
                            </a:solidFill>
                            <a:prstDash val="solid"/>
                            <a:miter/>
                            <a:headEnd type="none" w="med" len="med"/>
                            <a:tailEnd type="none" w="med" len="med"/>
                          </a:ln>
                        </pic:spPr>
                      </pic:pic>
                    </a:graphicData>
                  </a:graphic>
                </wp:inline>
              </w:drawing>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公式（2）</w:t>
            </w:r>
          </w:p>
          <w:p>
            <w:pPr>
              <w:widowControl/>
              <w:snapToGrid w:val="0"/>
              <w:spacing w:before="0" w:after="0" w:line="360" w:lineRule="auto"/>
              <w:ind w:right="0" w:firstLine="720" w:firstLineChars="3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式中：V0—理论空气量，标立方米/立方米；</w:t>
            </w:r>
          </w:p>
          <w:p>
            <w:pPr>
              <w:widowControl/>
              <w:snapToGrid w:val="0"/>
              <w:spacing w:before="0" w:after="0" w:line="360" w:lineRule="auto"/>
              <w:ind w:right="0" w:firstLine="720" w:firstLineChars="3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Vgy—基准烟气量，标立方米/立方米；</w:t>
            </w:r>
          </w:p>
          <w:p>
            <w:pPr>
              <w:widowControl/>
              <w:snapToGrid w:val="0"/>
              <w:spacing w:before="0" w:after="0" w:line="360" w:lineRule="auto"/>
              <w:ind w:right="0" w:firstLine="720" w:firstLineChars="3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φ(CO</w:t>
            </w:r>
            <w:r>
              <w:rPr>
                <w:rFonts w:hint="default" w:ascii="Times New Roman" w:hAnsi="Times New Roman" w:eastAsia="宋体" w:cs="Times New Roman"/>
                <w:color w:val="auto"/>
                <w:kern w:val="0"/>
                <w:sz w:val="24"/>
                <w:szCs w:val="24"/>
                <w:vertAlign w:val="subscript"/>
                <w:lang w:val="en-US" w:eastAsia="zh-CN" w:bidi="ar-SA"/>
              </w:rPr>
              <w:t>2</w:t>
            </w:r>
            <w:r>
              <w:rPr>
                <w:rFonts w:hint="default" w:ascii="Times New Roman" w:hAnsi="Times New Roman" w:eastAsia="宋体" w:cs="Times New Roman"/>
                <w:color w:val="auto"/>
                <w:kern w:val="0"/>
                <w:sz w:val="24"/>
                <w:szCs w:val="24"/>
                <w:lang w:val="en-US" w:eastAsia="zh-CN" w:bidi="ar-SA"/>
              </w:rPr>
              <w:t>)—二氧化碳体积百分数，百分比</w:t>
            </w:r>
          </w:p>
          <w:p>
            <w:pPr>
              <w:widowControl/>
              <w:snapToGrid w:val="0"/>
              <w:spacing w:before="0" w:after="0" w:line="360" w:lineRule="auto"/>
              <w:ind w:right="0" w:firstLine="720" w:firstLineChars="3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φ(N</w:t>
            </w:r>
            <w:r>
              <w:rPr>
                <w:rFonts w:hint="default" w:ascii="Times New Roman" w:hAnsi="Times New Roman" w:eastAsia="宋体" w:cs="Times New Roman"/>
                <w:color w:val="auto"/>
                <w:kern w:val="0"/>
                <w:sz w:val="24"/>
                <w:szCs w:val="24"/>
                <w:vertAlign w:val="subscript"/>
                <w:lang w:val="en-US" w:eastAsia="zh-CN" w:bidi="ar-SA"/>
              </w:rPr>
              <w:t>2</w:t>
            </w:r>
            <w:r>
              <w:rPr>
                <w:rFonts w:hint="default" w:ascii="Times New Roman" w:hAnsi="Times New Roman" w:eastAsia="宋体" w:cs="Times New Roman"/>
                <w:color w:val="auto"/>
                <w:kern w:val="0"/>
                <w:sz w:val="24"/>
                <w:szCs w:val="24"/>
                <w:lang w:val="en-US" w:eastAsia="zh-CN" w:bidi="ar-SA"/>
              </w:rPr>
              <w:t>)—氮体积百分数，百分比；</w:t>
            </w:r>
          </w:p>
          <w:p>
            <w:pPr>
              <w:widowControl/>
              <w:snapToGrid w:val="0"/>
              <w:spacing w:before="0" w:after="0" w:line="360" w:lineRule="auto"/>
              <w:ind w:right="0" w:firstLine="720" w:firstLineChars="3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φ(CO)—一氧化碳体积百分数，百分比；</w:t>
            </w:r>
          </w:p>
          <w:p>
            <w:pPr>
              <w:widowControl/>
              <w:snapToGrid w:val="0"/>
              <w:spacing w:before="0" w:after="0" w:line="360" w:lineRule="auto"/>
              <w:ind w:right="0" w:firstLine="720" w:firstLineChars="3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φ(H</w:t>
            </w:r>
            <w:r>
              <w:rPr>
                <w:rFonts w:hint="default" w:ascii="Times New Roman" w:hAnsi="Times New Roman" w:eastAsia="宋体" w:cs="Times New Roman"/>
                <w:color w:val="auto"/>
                <w:kern w:val="0"/>
                <w:sz w:val="24"/>
                <w:szCs w:val="24"/>
                <w:vertAlign w:val="subscript"/>
                <w:lang w:val="en-US" w:eastAsia="zh-CN" w:bidi="ar-SA"/>
              </w:rPr>
              <w:t>2</w:t>
            </w:r>
            <w:r>
              <w:rPr>
                <w:rFonts w:hint="default" w:ascii="Times New Roman" w:hAnsi="Times New Roman" w:eastAsia="宋体" w:cs="Times New Roman"/>
                <w:color w:val="auto"/>
                <w:kern w:val="0"/>
                <w:sz w:val="24"/>
                <w:szCs w:val="24"/>
                <w:lang w:val="en-US" w:eastAsia="zh-CN" w:bidi="ar-SA"/>
              </w:rPr>
              <w:t>)—氢体积百分数，百分比；</w:t>
            </w:r>
          </w:p>
          <w:p>
            <w:pPr>
              <w:widowControl/>
              <w:snapToGrid w:val="0"/>
              <w:spacing w:before="0" w:after="0" w:line="360" w:lineRule="auto"/>
              <w:ind w:right="0" w:firstLine="720" w:firstLineChars="3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φ(H</w:t>
            </w:r>
            <w:r>
              <w:rPr>
                <w:rFonts w:hint="default" w:ascii="Times New Roman" w:hAnsi="Times New Roman" w:eastAsia="宋体" w:cs="Times New Roman"/>
                <w:color w:val="auto"/>
                <w:kern w:val="0"/>
                <w:sz w:val="24"/>
                <w:szCs w:val="24"/>
                <w:vertAlign w:val="subscript"/>
                <w:lang w:val="en-US" w:eastAsia="zh-CN" w:bidi="ar-SA"/>
              </w:rPr>
              <w:t>2</w:t>
            </w:r>
            <w:r>
              <w:rPr>
                <w:rFonts w:hint="default" w:ascii="Times New Roman" w:hAnsi="Times New Roman" w:eastAsia="宋体" w:cs="Times New Roman"/>
                <w:color w:val="auto"/>
                <w:kern w:val="0"/>
                <w:sz w:val="24"/>
                <w:szCs w:val="24"/>
                <w:lang w:val="en-US" w:eastAsia="zh-CN" w:bidi="ar-SA"/>
              </w:rPr>
              <w:t>S)—硫化氢体积百分数，百分比；</w:t>
            </w:r>
          </w:p>
          <w:p>
            <w:pPr>
              <w:widowControl/>
              <w:snapToGrid w:val="0"/>
              <w:spacing w:before="0" w:after="0" w:line="360" w:lineRule="auto"/>
              <w:ind w:right="0" w:firstLine="720" w:firstLineChars="3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φ(CmHn)—烃类体积百分数，百分比，n为碳原子数，m为氢原子数；</w:t>
            </w:r>
          </w:p>
          <w:p>
            <w:pPr>
              <w:widowControl/>
              <w:snapToGrid w:val="0"/>
              <w:spacing w:before="0" w:after="0" w:line="360" w:lineRule="auto"/>
              <w:ind w:right="0" w:firstLine="720" w:firstLineChars="3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φ(O2)—氧体积百分数，百分比；</w:t>
            </w:r>
          </w:p>
          <w:p>
            <w:pPr>
              <w:widowControl/>
              <w:snapToGrid w:val="0"/>
              <w:spacing w:before="0" w:after="0" w:line="360" w:lineRule="auto"/>
              <w:ind w:right="0"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α—过量空气系数，燃料燃烧时实际空气供给量与理论空气需要量之比值，燃气锅炉的过量空气系数为1.2，对应基准氧含量为3.5%。</w:t>
            </w:r>
          </w:p>
          <w:p>
            <w:pPr>
              <w:widowControl/>
              <w:snapToGrid w:val="0"/>
              <w:spacing w:before="0" w:after="0" w:line="360" w:lineRule="auto"/>
              <w:ind w:right="0"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综上计算得基准烟气量为13.46m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18"/>
                <w:szCs w:val="20"/>
                <w:lang w:val="en-US" w:eastAsia="zh-CN" w:bidi="ar-SA"/>
              </w:rPr>
              <w:t>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vertAlign w:val="baseline"/>
                <w:lang w:val="en-US" w:eastAsia="zh-CN" w:bidi="ar-SA"/>
              </w:rPr>
              <w:t>。项目燃气消耗量为67.1万m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vertAlign w:val="baseline"/>
                <w:lang w:val="en-US" w:eastAsia="zh-CN" w:bidi="ar-SA"/>
              </w:rPr>
              <w:t>/a，</w:t>
            </w:r>
            <w:r>
              <w:rPr>
                <w:rFonts w:hint="default" w:ascii="Times New Roman" w:hAnsi="Times New Roman" w:eastAsia="宋体" w:cs="Times New Roman"/>
                <w:color w:val="auto"/>
                <w:kern w:val="0"/>
                <w:sz w:val="24"/>
                <w:szCs w:val="24"/>
                <w:lang w:val="en-US" w:eastAsia="zh-CN" w:bidi="ar-SA"/>
              </w:rPr>
              <w:t>总烟气量903.2万N</w:t>
            </w:r>
            <w:r>
              <w:rPr>
                <w:rFonts w:hint="default" w:ascii="Times New Roman" w:hAnsi="Times New Roman" w:eastAsia="宋体" w:cs="Times New Roman"/>
                <w:color w:val="auto"/>
                <w:kern w:val="0"/>
                <w:sz w:val="24"/>
                <w:szCs w:val="28"/>
                <w:lang w:val="en-US" w:eastAsia="zh-CN" w:bidi="ar-SA"/>
              </w:rPr>
              <w:t>m</w:t>
            </w:r>
            <w:r>
              <w:rPr>
                <w:rFonts w:hint="default" w:ascii="Times New Roman" w:hAnsi="Times New Roman" w:eastAsia="宋体" w:cs="Times New Roman"/>
                <w:color w:val="auto"/>
                <w:kern w:val="0"/>
                <w:sz w:val="24"/>
                <w:szCs w:val="28"/>
                <w:vertAlign w:val="superscript"/>
                <w:lang w:val="en-US" w:eastAsia="zh-CN" w:bidi="ar-SA"/>
              </w:rPr>
              <w:t>3</w:t>
            </w:r>
            <w:r>
              <w:rPr>
                <w:rFonts w:hint="default" w:ascii="Times New Roman" w:hAnsi="Times New Roman" w:eastAsia="宋体" w:cs="Times New Roman"/>
                <w:color w:val="auto"/>
                <w:kern w:val="0"/>
                <w:sz w:val="24"/>
                <w:szCs w:val="28"/>
                <w:vertAlign w:val="baseline"/>
                <w:lang w:val="en-US" w:eastAsia="zh-CN" w:bidi="ar-SA"/>
              </w:rPr>
              <w:t>。</w:t>
            </w:r>
          </w:p>
          <w:p>
            <w:pPr>
              <w:pageBreakBefore w:val="0"/>
              <w:widowControl w:val="0"/>
              <w:kinsoku/>
              <w:wordWrap/>
              <w:overflowPunct/>
              <w:topLinePunct w:val="0"/>
              <w:bidi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根据《污染源源强核算技术指南</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锅炉》</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HJ991-2018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，锅炉有组织废气污染源源强核算方法首选物料衡算法。</w:t>
            </w:r>
          </w:p>
          <w:p>
            <w:pPr>
              <w:adjustRightInd w:val="0"/>
              <w:snapToGrid w:val="0"/>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1 \* GB3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rPr>
              <w:t>氮氧化物</w:t>
            </w:r>
          </w:p>
          <w:p>
            <w:pPr>
              <w:adjustRightInd w:val="0"/>
              <w:snapToGrid w:val="0"/>
              <w:ind w:firstLine="480"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sz w:val="24"/>
                <w:szCs w:val="24"/>
                <w:highlight w:val="none"/>
              </w:rPr>
              <w:drawing>
                <wp:inline distT="0" distB="0" distL="114300" distR="114300">
                  <wp:extent cx="2233295" cy="494665"/>
                  <wp:effectExtent l="0" t="0" r="14605" b="63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2"/>
                          <a:stretch>
                            <a:fillRect/>
                          </a:stretch>
                        </pic:blipFill>
                        <pic:spPr>
                          <a:xfrm>
                            <a:off x="0" y="0"/>
                            <a:ext cx="2233295" cy="494665"/>
                          </a:xfrm>
                          <a:prstGeom prst="rect">
                            <a:avLst/>
                          </a:prstGeom>
                          <a:noFill/>
                          <a:ln>
                            <a:noFill/>
                          </a:ln>
                        </pic:spPr>
                      </pic:pic>
                    </a:graphicData>
                  </a:graphic>
                </wp:inline>
              </w:drawing>
            </w:r>
          </w:p>
          <w:p>
            <w:pPr>
              <w:adjustRightInd w:val="0"/>
              <w:snapToGrid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式中：E</w:t>
            </w:r>
            <w:r>
              <w:rPr>
                <w:rFonts w:hint="default" w:ascii="Times New Roman" w:hAnsi="Times New Roman" w:eastAsia="宋体" w:cs="Times New Roman"/>
                <w:color w:val="auto"/>
                <w:vertAlign w:val="subscript"/>
                <w:lang w:val="en-US" w:eastAsia="zh-CN"/>
              </w:rPr>
              <w:t>NOx</w:t>
            </w:r>
            <w:r>
              <w:rPr>
                <w:rFonts w:hint="default" w:ascii="Times New Roman" w:hAnsi="Times New Roman" w:eastAsia="宋体" w:cs="Times New Roman"/>
                <w:color w:val="auto"/>
                <w:lang w:val="en-US" w:eastAsia="zh-CN"/>
              </w:rPr>
              <w:t>—核算时段内氮氧化物排放量，t/a；</w:t>
            </w:r>
          </w:p>
          <w:p>
            <w:pPr>
              <w:adjustRightInd w:val="0"/>
              <w:snapToGrid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ρ</w:t>
            </w:r>
            <w:r>
              <w:rPr>
                <w:rFonts w:hint="default" w:ascii="Times New Roman" w:hAnsi="Times New Roman" w:eastAsia="宋体" w:cs="Times New Roman"/>
                <w:color w:val="auto"/>
                <w:vertAlign w:val="subscript"/>
                <w:lang w:val="en-US" w:eastAsia="zh-CN"/>
              </w:rPr>
              <w:t>NOx</w:t>
            </w:r>
            <w:r>
              <w:rPr>
                <w:rFonts w:hint="default" w:ascii="Times New Roman" w:hAnsi="Times New Roman" w:eastAsia="宋体" w:cs="Times New Roman"/>
                <w:color w:val="auto"/>
                <w:lang w:val="en-US" w:eastAsia="zh-CN"/>
              </w:rPr>
              <w:t>—锅炉炉膛出口氮氧化物质量浓度，mg/m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p>
            <w:pPr>
              <w:adjustRightInd w:val="0"/>
              <w:snapToGrid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本项目锅炉为燃气蒸汽锅炉，采用低氮燃烧技术，采用低氮燃烧器+烟气再循环工艺，根据《燃气锅炉低氮排放的经济性分析》(第37卷，第1期)文章，烟气再循环技术是目前实现氮氧化物排放≤30mg/Nm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的燃烧器普遍采用的技术。因此，NO</w:t>
            </w:r>
            <w:r>
              <w:rPr>
                <w:rFonts w:hint="default" w:ascii="Times New Roman" w:hAnsi="Times New Roman" w:eastAsia="宋体" w:cs="Times New Roman"/>
                <w:color w:val="auto"/>
                <w:vertAlign w:val="subscript"/>
                <w:lang w:val="en-US" w:eastAsia="zh-CN"/>
              </w:rPr>
              <w:t>X</w:t>
            </w:r>
            <w:r>
              <w:rPr>
                <w:rFonts w:hint="default" w:ascii="Times New Roman" w:hAnsi="Times New Roman" w:eastAsia="宋体" w:cs="Times New Roman"/>
                <w:color w:val="auto"/>
                <w:lang w:val="en-US" w:eastAsia="zh-CN"/>
              </w:rPr>
              <w:t>排放质量浓度可控制在30mg/m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以下，本项目以30mg/m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计；</w:t>
            </w:r>
          </w:p>
          <w:p>
            <w:pPr>
              <w:adjustRightInd w:val="0"/>
              <w:snapToGrid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Q—核算时段内标态干烟气量，</w:t>
            </w:r>
            <w:r>
              <w:rPr>
                <w:rFonts w:hint="default" w:ascii="Times New Roman" w:hAnsi="Times New Roman" w:eastAsia="宋体" w:cs="Times New Roman"/>
                <w:color w:val="auto"/>
                <w:kern w:val="0"/>
                <w:sz w:val="24"/>
                <w:szCs w:val="24"/>
                <w:lang w:val="en-US" w:eastAsia="zh-CN" w:bidi="ar-SA"/>
              </w:rPr>
              <w:t>903.2</w:t>
            </w:r>
            <w:r>
              <w:rPr>
                <w:rFonts w:hint="default" w:ascii="Times New Roman" w:hAnsi="Times New Roman" w:eastAsia="宋体" w:cs="Times New Roman"/>
                <w:color w:val="auto"/>
                <w:lang w:val="en-US" w:eastAsia="zh-CN"/>
              </w:rPr>
              <w:t>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p>
            <w:pPr>
              <w:adjustRightInd w:val="0"/>
              <w:snapToGrid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η</w:t>
            </w:r>
            <w:r>
              <w:rPr>
                <w:rFonts w:hint="default" w:ascii="Times New Roman" w:hAnsi="Times New Roman" w:eastAsia="宋体" w:cs="Times New Roman"/>
                <w:color w:val="auto"/>
                <w:vertAlign w:val="subscript"/>
                <w:lang w:val="en-US" w:eastAsia="zh-CN"/>
              </w:rPr>
              <w:t>NOx</w:t>
            </w:r>
            <w:r>
              <w:rPr>
                <w:rFonts w:hint="default" w:ascii="Times New Roman" w:hAnsi="Times New Roman" w:eastAsia="宋体" w:cs="Times New Roman"/>
                <w:color w:val="auto"/>
                <w:lang w:val="en-US" w:eastAsia="zh-CN"/>
              </w:rPr>
              <w:t>—脱硝效率，%，本项目取0；</w:t>
            </w:r>
          </w:p>
          <w:p>
            <w:pPr>
              <w:adjustRightInd w:val="0"/>
              <w:snapToGrid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通过上式计算得出，产生NO</w:t>
            </w:r>
            <w:r>
              <w:rPr>
                <w:rFonts w:hint="default" w:ascii="Times New Roman" w:hAnsi="Times New Roman" w:eastAsia="宋体" w:cs="Times New Roman"/>
                <w:color w:val="auto"/>
                <w:vertAlign w:val="subscript"/>
                <w:lang w:val="en-US" w:eastAsia="zh-CN"/>
              </w:rPr>
              <w:t>X</w:t>
            </w:r>
            <w:r>
              <w:rPr>
                <w:rFonts w:hint="default" w:ascii="Times New Roman" w:hAnsi="Times New Roman" w:eastAsia="宋体" w:cs="Times New Roman"/>
                <w:color w:val="auto"/>
                <w:lang w:val="en-US" w:eastAsia="zh-CN"/>
              </w:rPr>
              <w:t>的量为0.27t/a。</w:t>
            </w:r>
          </w:p>
          <w:p>
            <w:pPr>
              <w:adjustRightInd w:val="0"/>
              <w:snapToGrid w:val="0"/>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4 \* GB3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rPr>
              <w:t>④</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颗粒物</w:t>
            </w:r>
          </w:p>
          <w:p>
            <w:pPr>
              <w:adjustRightInd w:val="0"/>
              <w:snapToGrid w:val="0"/>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根据《污染源源强核算技术指南 锅炉(HJ991-2018)》，“燃油、燃气锅炉颗粒物排放量按照类比法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产污系数法核算。”，因无满足类比条件的报告，因此本项目颗粒物采用产污系数法计算。</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Ej=R×βj×10</w:t>
            </w:r>
            <w:r>
              <w:rPr>
                <w:rFonts w:hint="default" w:ascii="Times New Roman" w:hAnsi="Times New Roman" w:eastAsia="宋体" w:cs="Times New Roman"/>
                <w:color w:val="auto"/>
                <w:vertAlign w:val="superscript"/>
              </w:rPr>
              <w:t>-3</w:t>
            </w:r>
          </w:p>
          <w:p>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式中：Ej—核算时段内第j中污染物的排放量，吨；</w:t>
            </w:r>
          </w:p>
          <w:p>
            <w:pPr>
              <w:adjustRightInd w:val="0"/>
              <w:snapToGrid w:val="0"/>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R—核算时段内锅炉燃料消耗量，吨或万立方米；</w:t>
            </w:r>
          </w:p>
          <w:p>
            <w:pPr>
              <w:adjustRightInd w:val="0"/>
              <w:snapToGrid w:val="0"/>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βj—第j中污染物产排污系数，千克/吨-燃料或千克/万立方米-燃料。</w:t>
            </w:r>
          </w:p>
          <w:p>
            <w:pPr>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w:t>
            </w:r>
            <w:r>
              <w:rPr>
                <w:rFonts w:hint="default" w:ascii="Times New Roman" w:hAnsi="Times New Roman" w:eastAsia="宋体" w:cs="Times New Roman"/>
                <w:b/>
                <w:bCs/>
                <w:color w:val="auto"/>
                <w:lang w:val="en-US" w:eastAsia="zh-CN"/>
              </w:rPr>
              <w:t>7</w:t>
            </w:r>
            <w:r>
              <w:rPr>
                <w:rFonts w:hint="default" w:ascii="Times New Roman" w:hAnsi="Times New Roman" w:eastAsia="宋体" w:cs="Times New Roman"/>
                <w:b/>
                <w:bCs/>
                <w:color w:val="auto"/>
              </w:rPr>
              <w:t xml:space="preserve">  燃气锅炉的废气产排污系数</w:t>
            </w:r>
          </w:p>
          <w:tbl>
            <w:tblPr>
              <w:tblStyle w:val="24"/>
              <w:tblW w:w="929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193"/>
              <w:gridCol w:w="1159"/>
              <w:gridCol w:w="1582"/>
              <w:gridCol w:w="1844"/>
              <w:gridCol w:w="1208"/>
              <w:gridCol w:w="13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燃料名称</w:t>
                  </w:r>
                </w:p>
              </w:tc>
              <w:tc>
                <w:tcPr>
                  <w:tcW w:w="119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规模等级</w:t>
                  </w:r>
                </w:p>
              </w:tc>
              <w:tc>
                <w:tcPr>
                  <w:tcW w:w="1159"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污染物指标</w:t>
                  </w:r>
                </w:p>
              </w:tc>
              <w:tc>
                <w:tcPr>
                  <w:tcW w:w="158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84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产污系数</w:t>
                  </w:r>
                </w:p>
              </w:tc>
              <w:tc>
                <w:tcPr>
                  <w:tcW w:w="120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末端治理</w:t>
                  </w:r>
                </w:p>
              </w:tc>
              <w:tc>
                <w:tcPr>
                  <w:tcW w:w="1329"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排污系数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天然气</w:t>
                  </w:r>
                </w:p>
              </w:tc>
              <w:tc>
                <w:tcPr>
                  <w:tcW w:w="119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所有规模</w:t>
                  </w:r>
                </w:p>
              </w:tc>
              <w:tc>
                <w:tcPr>
                  <w:tcW w:w="1159"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58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千克/万立方米-燃料</w:t>
                  </w:r>
                </w:p>
              </w:tc>
              <w:tc>
                <w:tcPr>
                  <w:tcW w:w="184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2.86</w:t>
                  </w:r>
                </w:p>
              </w:tc>
              <w:tc>
                <w:tcPr>
                  <w:tcW w:w="120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直排</w:t>
                  </w:r>
                </w:p>
              </w:tc>
              <w:tc>
                <w:tcPr>
                  <w:tcW w:w="1329"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2.86</w:t>
                  </w:r>
                </w:p>
              </w:tc>
            </w:tr>
          </w:tbl>
          <w:p>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项目锅炉配备低氮燃烧器，根据上表计算，项目颗粒物产生量为</w:t>
            </w:r>
            <w:r>
              <w:rPr>
                <w:rFonts w:hint="default" w:ascii="Times New Roman" w:hAnsi="Times New Roman" w:eastAsia="宋体" w:cs="Times New Roman"/>
                <w:color w:val="auto"/>
                <w:lang w:val="en-US" w:eastAsia="zh-CN"/>
              </w:rPr>
              <w:t>0.19</w:t>
            </w:r>
            <w:r>
              <w:rPr>
                <w:rFonts w:hint="default" w:ascii="Times New Roman" w:hAnsi="Times New Roman" w:eastAsia="宋体" w:cs="Times New Roman"/>
                <w:color w:val="auto"/>
              </w:rPr>
              <w:t>t/a，产生浓度为</w:t>
            </w:r>
            <w:r>
              <w:rPr>
                <w:rFonts w:hint="default" w:ascii="Times New Roman" w:hAnsi="Times New Roman" w:eastAsia="宋体" w:cs="Times New Roman"/>
                <w:color w:val="auto"/>
                <w:lang w:val="en-US" w:eastAsia="zh-CN"/>
              </w:rPr>
              <w:t>21.2</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pPr>
              <w:adjustRightInd w:val="0"/>
              <w:snapToGrid w:val="0"/>
              <w:ind w:left="42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3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二氧化硫</w:t>
            </w:r>
          </w:p>
          <w:p>
            <w:pPr>
              <w:widowControl/>
              <w:snapToGrid w:val="0"/>
              <w:spacing w:before="0" w:after="0" w:line="360" w:lineRule="auto"/>
              <w:ind w:right="0"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二氧化硫产生量按照《污染物源强核算指南-锅炉》（HJ991-2018）中物料衡算法核算。</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4572000" cy="495300"/>
                  <wp:effectExtent l="9525" t="9525" r="9525" b="952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3"/>
                          <a:srcRect b="26761"/>
                          <a:stretch>
                            <a:fillRect/>
                          </a:stretch>
                        </pic:blipFill>
                        <pic:spPr>
                          <a:xfrm>
                            <a:off x="0" y="0"/>
                            <a:ext cx="4572000" cy="495300"/>
                          </a:xfrm>
                          <a:prstGeom prst="rect">
                            <a:avLst/>
                          </a:prstGeom>
                          <a:noFill/>
                          <a:ln w="9525" cap="flat" cmpd="sng">
                            <a:solidFill>
                              <a:srgbClr val="000000"/>
                            </a:solidFill>
                            <a:prstDash val="solid"/>
                            <a:miter/>
                            <a:headEnd type="none" w="med" len="med"/>
                            <a:tailEnd type="none" w="med" len="med"/>
                          </a:ln>
                        </pic:spPr>
                      </pic:pic>
                    </a:graphicData>
                  </a:graphic>
                </wp:inline>
              </w:drawing>
            </w:r>
          </w:p>
          <w:p>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式中：ESO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—核算时段内二氧化硫排放量，吨；</w:t>
            </w:r>
          </w:p>
          <w:p>
            <w:pPr>
              <w:adjustRightInd w:val="0"/>
              <w:snapToGrid w:val="0"/>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R—核算时段内锅炉燃料耗量，万立方米；</w:t>
            </w:r>
          </w:p>
          <w:p>
            <w:pPr>
              <w:adjustRightInd w:val="0"/>
              <w:snapToGrid w:val="0"/>
              <w:ind w:firstLine="1200" w:firstLineChars="5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rPr>
              <w:t>St—燃料中质量总硫浓度，mg/m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default" w:ascii="Times New Roman" w:hAnsi="Times New Roman" w:eastAsia="宋体" w:cs="Times New Roman"/>
                <w:b w:val="0"/>
                <w:bCs w:val="0"/>
                <w:color w:val="auto"/>
                <w:kern w:val="2"/>
                <w:sz w:val="24"/>
                <w:szCs w:val="24"/>
                <w:highlight w:val="none"/>
              </w:rPr>
              <w:t>依据2019年6月1日实施在强制性国家标准GB 17820-2018《天然气》中</w:t>
            </w:r>
            <w:r>
              <w:rPr>
                <w:rFonts w:hint="default" w:ascii="Times New Roman" w:hAnsi="Times New Roman" w:eastAsia="宋体" w:cs="Times New Roman"/>
                <w:b w:val="0"/>
                <w:bCs w:val="0"/>
                <w:color w:val="auto"/>
                <w:kern w:val="2"/>
                <w:sz w:val="24"/>
                <w:szCs w:val="24"/>
                <w:highlight w:val="none"/>
                <w:lang w:val="en-US" w:eastAsia="zh-CN"/>
              </w:rPr>
              <w:t>二</w:t>
            </w:r>
            <w:r>
              <w:rPr>
                <w:rFonts w:hint="default" w:ascii="Times New Roman" w:hAnsi="Times New Roman" w:eastAsia="宋体" w:cs="Times New Roman"/>
                <w:b w:val="0"/>
                <w:bCs w:val="0"/>
                <w:color w:val="auto"/>
                <w:kern w:val="2"/>
                <w:sz w:val="24"/>
                <w:szCs w:val="24"/>
                <w:highlight w:val="none"/>
              </w:rPr>
              <w:t>类气气质指标：总硫≤</w:t>
            </w:r>
            <w:r>
              <w:rPr>
                <w:rFonts w:hint="default" w:ascii="Times New Roman" w:hAnsi="Times New Roman" w:eastAsia="宋体" w:cs="Times New Roman"/>
                <w:b w:val="0"/>
                <w:bCs w:val="0"/>
                <w:color w:val="auto"/>
                <w:kern w:val="2"/>
                <w:sz w:val="24"/>
                <w:szCs w:val="24"/>
                <w:highlight w:val="none"/>
                <w:lang w:val="en-US" w:eastAsia="zh-CN"/>
              </w:rPr>
              <w:t>100</w:t>
            </w:r>
            <w:r>
              <w:rPr>
                <w:rFonts w:hint="default" w:ascii="Times New Roman" w:hAnsi="Times New Roman" w:eastAsia="宋体" w:cs="Times New Roman"/>
                <w:b w:val="0"/>
                <w:bCs w:val="0"/>
                <w:color w:val="auto"/>
                <w:kern w:val="2"/>
                <w:sz w:val="24"/>
                <w:szCs w:val="24"/>
                <w:highlight w:val="none"/>
              </w:rPr>
              <w:t>mg/m</w:t>
            </w:r>
            <w:r>
              <w:rPr>
                <w:rFonts w:hint="default" w:ascii="Times New Roman" w:hAnsi="Times New Roman" w:eastAsia="宋体" w:cs="Times New Roman"/>
                <w:b w:val="0"/>
                <w:bCs w:val="0"/>
                <w:color w:val="auto"/>
                <w:kern w:val="2"/>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w:t>
            </w:r>
          </w:p>
          <w:p>
            <w:pPr>
              <w:adjustRightInd w:val="0"/>
              <w:snapToGrid w:val="0"/>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ŋs—脱硫效率，%；取0</w:t>
            </w:r>
          </w:p>
          <w:p>
            <w:pPr>
              <w:adjustRightInd w:val="0"/>
              <w:snapToGrid w:val="0"/>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K—燃料中的硫燃烧后氧化成二氧化硫的份额，无量纲。K取1</w:t>
            </w:r>
          </w:p>
          <w:p>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根据上式计算得锅炉年产生SO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lang w:val="en-US" w:eastAsia="zh-CN"/>
              </w:rPr>
              <w:t>0.13</w:t>
            </w:r>
            <w:r>
              <w:rPr>
                <w:rFonts w:hint="default" w:ascii="Times New Roman" w:hAnsi="Times New Roman" w:eastAsia="宋体" w:cs="Times New Roman"/>
                <w:color w:val="auto"/>
              </w:rPr>
              <w:t>t/a，浓度为</w:t>
            </w:r>
            <w:r>
              <w:rPr>
                <w:rFonts w:hint="default" w:ascii="Times New Roman" w:hAnsi="Times New Roman" w:eastAsia="宋体" w:cs="Times New Roman"/>
                <w:color w:val="auto"/>
                <w:lang w:val="en-US" w:eastAsia="zh-CN"/>
              </w:rPr>
              <w:t>14.9</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pPr>
              <w:adjustRightInd w:val="0"/>
              <w:snapToGrid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锅炉废气污染物产生及排放情况见下表4-</w:t>
            </w:r>
            <w:r>
              <w:rPr>
                <w:rFonts w:hint="default" w:ascii="Times New Roman" w:hAnsi="Times New Roman" w:eastAsia="宋体" w:cs="Times New Roman"/>
                <w:color w:val="auto"/>
                <w:lang w:val="en-US" w:eastAsia="zh-CN"/>
              </w:rPr>
              <w:t>8。</w:t>
            </w:r>
          </w:p>
          <w:p>
            <w:pPr>
              <w:widowControl/>
              <w:snapToGrid w:val="0"/>
              <w:spacing w:before="0" w:after="0" w:line="360" w:lineRule="auto"/>
              <w:ind w:right="0"/>
              <w:jc w:val="center"/>
              <w:rPr>
                <w:rFonts w:hint="default" w:ascii="Times New Roman" w:hAnsi="Times New Roman" w:eastAsia="宋体" w:cs="Times New Roman"/>
                <w:b/>
                <w:bCs/>
                <w:color w:val="auto"/>
                <w:kern w:val="0"/>
                <w:sz w:val="24"/>
                <w:szCs w:val="28"/>
                <w:lang w:val="en-US" w:eastAsia="zh-CN" w:bidi="ar-SA"/>
              </w:rPr>
            </w:pPr>
            <w:r>
              <w:rPr>
                <w:rFonts w:hint="default" w:ascii="Times New Roman" w:hAnsi="Times New Roman" w:eastAsia="宋体" w:cs="Times New Roman"/>
                <w:b/>
                <w:bCs/>
                <w:color w:val="auto"/>
                <w:kern w:val="0"/>
                <w:sz w:val="24"/>
                <w:szCs w:val="28"/>
                <w:lang w:val="en-US" w:eastAsia="zh-CN" w:bidi="ar-SA"/>
              </w:rPr>
              <w:t>表4-8  锅炉废气污染物产生及排放情况</w:t>
            </w:r>
          </w:p>
          <w:tbl>
            <w:tblPr>
              <w:tblStyle w:val="24"/>
              <w:tblW w:w="929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1"/>
              <w:gridCol w:w="718"/>
              <w:gridCol w:w="659"/>
              <w:gridCol w:w="1141"/>
              <w:gridCol w:w="911"/>
              <w:gridCol w:w="777"/>
              <w:gridCol w:w="1141"/>
              <w:gridCol w:w="875"/>
              <w:gridCol w:w="541"/>
              <w:gridCol w:w="1140"/>
              <w:gridCol w:w="9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jc w:val="center"/>
              </w:trPr>
              <w:tc>
                <w:tcPr>
                  <w:tcW w:w="481" w:type="dxa"/>
                  <w:vMerge w:val="restart"/>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锅炉</w:t>
                  </w:r>
                </w:p>
              </w:tc>
              <w:tc>
                <w:tcPr>
                  <w:tcW w:w="718" w:type="dxa"/>
                  <w:vMerge w:val="restart"/>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烟气量</w:t>
                  </w:r>
                </w:p>
              </w:tc>
              <w:tc>
                <w:tcPr>
                  <w:tcW w:w="2711" w:type="dxa"/>
                  <w:gridSpan w:val="3"/>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颗粒物</w:t>
                  </w:r>
                </w:p>
              </w:tc>
              <w:tc>
                <w:tcPr>
                  <w:tcW w:w="2793" w:type="dxa"/>
                  <w:gridSpan w:val="3"/>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SO</w:t>
                  </w:r>
                  <w:r>
                    <w:rPr>
                      <w:rFonts w:hint="default" w:ascii="Times New Roman" w:hAnsi="Times New Roman" w:eastAsia="宋体" w:cs="Times New Roman"/>
                      <w:color w:val="auto"/>
                      <w:kern w:val="0"/>
                      <w:sz w:val="21"/>
                      <w:szCs w:val="21"/>
                      <w:highlight w:val="none"/>
                      <w:vertAlign w:val="subscript"/>
                      <w:lang w:val="en-US" w:eastAsia="zh-CN" w:bidi="ar-SA"/>
                    </w:rPr>
                    <w:t>2</w:t>
                  </w:r>
                </w:p>
              </w:tc>
              <w:tc>
                <w:tcPr>
                  <w:tcW w:w="2592" w:type="dxa"/>
                  <w:gridSpan w:val="3"/>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NO</w:t>
                  </w:r>
                  <w:r>
                    <w:rPr>
                      <w:rFonts w:hint="default" w:ascii="Times New Roman" w:hAnsi="Times New Roman" w:eastAsia="宋体" w:cs="Times New Roman"/>
                      <w:color w:val="auto"/>
                      <w:kern w:val="0"/>
                      <w:sz w:val="21"/>
                      <w:szCs w:val="21"/>
                      <w:highlight w:val="none"/>
                      <w:vertAlign w:val="subscript"/>
                      <w:lang w:val="en-US" w:eastAsia="zh-CN" w:bidi="ar-SA"/>
                    </w:rPr>
                    <w:t>X</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1" w:type="dxa"/>
                  <w:vMerge w:val="continue"/>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p>
              </w:tc>
              <w:tc>
                <w:tcPr>
                  <w:tcW w:w="718" w:type="dxa"/>
                  <w:vMerge w:val="continue"/>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p>
              </w:tc>
              <w:tc>
                <w:tcPr>
                  <w:tcW w:w="659"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产生量</w:t>
                  </w:r>
                </w:p>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t/a</w:t>
                  </w:r>
                </w:p>
              </w:tc>
              <w:tc>
                <w:tcPr>
                  <w:tcW w:w="1141"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排放速率（kg/h）</w:t>
                  </w:r>
                </w:p>
              </w:tc>
              <w:tc>
                <w:tcPr>
                  <w:tcW w:w="911"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浓度mg/</w:t>
                  </w:r>
                  <w:r>
                    <w:rPr>
                      <w:rFonts w:hint="default" w:ascii="Times New Roman" w:hAnsi="Times New Roman" w:eastAsia="宋体" w:cs="Times New Roman"/>
                      <w:color w:val="auto"/>
                      <w:kern w:val="0"/>
                      <w:sz w:val="24"/>
                      <w:szCs w:val="24"/>
                      <w:highlight w:val="none"/>
                      <w:lang w:val="en-US" w:eastAsia="zh-CN" w:bidi="ar-SA"/>
                    </w:rPr>
                    <w:t>m</w:t>
                  </w:r>
                  <w:r>
                    <w:rPr>
                      <w:rFonts w:hint="default" w:ascii="Times New Roman" w:hAnsi="Times New Roman" w:eastAsia="宋体" w:cs="Times New Roman"/>
                      <w:color w:val="auto"/>
                      <w:kern w:val="0"/>
                      <w:sz w:val="24"/>
                      <w:szCs w:val="24"/>
                      <w:highlight w:val="none"/>
                      <w:vertAlign w:val="superscript"/>
                      <w:lang w:val="en-US" w:eastAsia="zh-CN" w:bidi="ar-SA"/>
                    </w:rPr>
                    <w:t>3</w:t>
                  </w:r>
                </w:p>
              </w:tc>
              <w:tc>
                <w:tcPr>
                  <w:tcW w:w="777"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产生量</w:t>
                  </w:r>
                </w:p>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t/a</w:t>
                  </w:r>
                </w:p>
              </w:tc>
              <w:tc>
                <w:tcPr>
                  <w:tcW w:w="1141"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排放速率（kg/h）</w:t>
                  </w:r>
                </w:p>
              </w:tc>
              <w:tc>
                <w:tcPr>
                  <w:tcW w:w="875"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浓度</w:t>
                  </w:r>
                </w:p>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mg/m</w:t>
                  </w:r>
                  <w:r>
                    <w:rPr>
                      <w:rFonts w:hint="default" w:ascii="Times New Roman" w:hAnsi="Times New Roman" w:eastAsia="宋体" w:cs="Times New Roman"/>
                      <w:color w:val="auto"/>
                      <w:kern w:val="0"/>
                      <w:sz w:val="21"/>
                      <w:szCs w:val="21"/>
                      <w:highlight w:val="none"/>
                      <w:vertAlign w:val="superscript"/>
                      <w:lang w:val="en-US" w:eastAsia="zh-CN" w:bidi="ar-SA"/>
                    </w:rPr>
                    <w:t>3</w:t>
                  </w:r>
                </w:p>
              </w:tc>
              <w:tc>
                <w:tcPr>
                  <w:tcW w:w="541"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产生量</w:t>
                  </w:r>
                </w:p>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t/a</w:t>
                  </w:r>
                </w:p>
              </w:tc>
              <w:tc>
                <w:tcPr>
                  <w:tcW w:w="1140"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排放速率（kg/h）</w:t>
                  </w:r>
                </w:p>
              </w:tc>
              <w:tc>
                <w:tcPr>
                  <w:tcW w:w="911"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浓度</w:t>
                  </w:r>
                </w:p>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mg/</w:t>
                  </w:r>
                  <w:r>
                    <w:rPr>
                      <w:rFonts w:hint="default" w:ascii="Times New Roman" w:hAnsi="Times New Roman" w:eastAsia="宋体" w:cs="Times New Roman"/>
                      <w:color w:val="auto"/>
                      <w:kern w:val="0"/>
                      <w:sz w:val="24"/>
                      <w:szCs w:val="24"/>
                      <w:highlight w:val="none"/>
                      <w:lang w:val="en-US" w:eastAsia="zh-CN" w:bidi="ar-SA"/>
                    </w:rPr>
                    <w:t>m</w:t>
                  </w:r>
                  <w:r>
                    <w:rPr>
                      <w:rFonts w:hint="default" w:ascii="Times New Roman" w:hAnsi="Times New Roman" w:eastAsia="宋体" w:cs="Times New Roman"/>
                      <w:color w:val="auto"/>
                      <w:kern w:val="0"/>
                      <w:sz w:val="24"/>
                      <w:szCs w:val="24"/>
                      <w:highlight w:val="none"/>
                      <w:vertAlign w:val="superscript"/>
                      <w:lang w:val="en-US" w:eastAsia="zh-CN" w:bidi="ar-SA"/>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1" w:type="dxa"/>
                  <w:vMerge w:val="continue"/>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p>
              </w:tc>
              <w:tc>
                <w:tcPr>
                  <w:tcW w:w="718"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903.2万方/a</w:t>
                  </w:r>
                </w:p>
              </w:tc>
              <w:tc>
                <w:tcPr>
                  <w:tcW w:w="659"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0.19</w:t>
                  </w:r>
                </w:p>
              </w:tc>
              <w:tc>
                <w:tcPr>
                  <w:tcW w:w="1141"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0.067 </w:t>
                  </w:r>
                </w:p>
              </w:tc>
              <w:tc>
                <w:tcPr>
                  <w:tcW w:w="911"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21.2</w:t>
                  </w:r>
                </w:p>
              </w:tc>
              <w:tc>
                <w:tcPr>
                  <w:tcW w:w="777"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0.13 </w:t>
                  </w:r>
                </w:p>
              </w:tc>
              <w:tc>
                <w:tcPr>
                  <w:tcW w:w="1141"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0.047</w:t>
                  </w:r>
                </w:p>
              </w:tc>
              <w:tc>
                <w:tcPr>
                  <w:tcW w:w="875"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14.9</w:t>
                  </w:r>
                </w:p>
              </w:tc>
              <w:tc>
                <w:tcPr>
                  <w:tcW w:w="541"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0.27</w:t>
                  </w:r>
                </w:p>
              </w:tc>
              <w:tc>
                <w:tcPr>
                  <w:tcW w:w="1140"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0.095</w:t>
                  </w:r>
                </w:p>
              </w:tc>
              <w:tc>
                <w:tcPr>
                  <w:tcW w:w="911" w:type="dxa"/>
                  <w:noWrap w:val="0"/>
                  <w:vAlign w:val="center"/>
                </w:tcPr>
                <w:p>
                  <w:pPr>
                    <w:widowControl w:val="0"/>
                    <w:spacing w:line="240" w:lineRule="auto"/>
                    <w:ind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w:t>
                  </w:r>
                </w:p>
              </w:tc>
            </w:tr>
          </w:tbl>
          <w:p>
            <w:pPr>
              <w:keepNext w:val="0"/>
              <w:keepLines w:val="0"/>
              <w:pageBreakBefore w:val="0"/>
              <w:widowControl/>
              <w:kinsoku/>
              <w:wordWrap/>
              <w:overflowPunct/>
              <w:topLinePunct w:val="0"/>
              <w:autoSpaceDE/>
              <w:autoSpaceDN/>
              <w:bidi w:val="0"/>
              <w:spacing w:line="360" w:lineRule="auto"/>
              <w:ind w:firstLine="720" w:firstLineChars="300"/>
              <w:jc w:val="left"/>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（3）食堂油烟</w:t>
            </w:r>
          </w:p>
          <w:p>
            <w:pPr>
              <w:keepNext w:val="0"/>
              <w:keepLines w:val="0"/>
              <w:pageBreakBefore w:val="0"/>
              <w:widowControl w:val="0"/>
              <w:kinsoku/>
              <w:wordWrap/>
              <w:overflowPunct/>
              <w:topLinePunct w:val="0"/>
              <w:autoSpaceDE w:val="0"/>
              <w:autoSpaceDN w:val="0"/>
              <w:bidi w:val="0"/>
              <w:adjustRightInd/>
              <w:snapToGrid/>
              <w:ind w:firstLine="480" w:firstLineChars="200"/>
              <w:jc w:val="both"/>
              <w:textAlignment w:val="auto"/>
              <w:rPr>
                <w:rFonts w:hint="default" w:ascii="Times New Roman" w:hAnsi="Times New Roman" w:eastAsia="宋体" w:cs="Times New Roman"/>
                <w:color w:val="auto"/>
                <w:kern w:val="0"/>
                <w:highlight w:val="none"/>
                <w:lang w:val="zh-CN" w:bidi="zh-CN"/>
              </w:rPr>
            </w:pPr>
            <w:r>
              <w:rPr>
                <w:rFonts w:hint="default" w:ascii="Times New Roman" w:hAnsi="Times New Roman" w:eastAsia="宋体" w:cs="Times New Roman"/>
                <w:color w:val="auto"/>
                <w:kern w:val="0"/>
                <w:highlight w:val="none"/>
                <w:lang w:val="zh-CN" w:bidi="zh-CN"/>
              </w:rPr>
              <w:t>本项目职工人数为</w:t>
            </w:r>
            <w:r>
              <w:rPr>
                <w:rFonts w:hint="default" w:ascii="Times New Roman" w:hAnsi="Times New Roman" w:eastAsia="宋体" w:cs="Times New Roman"/>
                <w:color w:val="auto"/>
                <w:kern w:val="0"/>
                <w:highlight w:val="none"/>
                <w:lang w:val="en-US" w:bidi="zh-CN"/>
              </w:rPr>
              <w:t>75</w:t>
            </w:r>
            <w:r>
              <w:rPr>
                <w:rFonts w:hint="default" w:ascii="Times New Roman" w:hAnsi="Times New Roman" w:eastAsia="宋体" w:cs="Times New Roman"/>
                <w:color w:val="auto"/>
                <w:kern w:val="0"/>
                <w:highlight w:val="none"/>
                <w:lang w:val="zh-CN" w:bidi="zh-CN"/>
              </w:rPr>
              <w:t>人，</w:t>
            </w:r>
            <w:r>
              <w:rPr>
                <w:rFonts w:hint="default" w:ascii="Times New Roman" w:hAnsi="Times New Roman" w:eastAsia="宋体" w:cs="Times New Roman"/>
                <w:color w:val="auto"/>
                <w:kern w:val="0"/>
                <w:highlight w:val="none"/>
                <w:lang w:val="en-US" w:bidi="zh-CN"/>
              </w:rPr>
              <w:t>设置1座食堂，</w:t>
            </w:r>
            <w:r>
              <w:rPr>
                <w:rFonts w:hint="default" w:ascii="Times New Roman" w:hAnsi="Times New Roman" w:eastAsia="宋体" w:cs="Times New Roman"/>
                <w:color w:val="auto"/>
                <w:kern w:val="0"/>
                <w:highlight w:val="none"/>
                <w:lang w:val="zh-CN" w:bidi="zh-CN"/>
              </w:rPr>
              <w:t>烹饪时间均约为每天</w:t>
            </w:r>
            <w:r>
              <w:rPr>
                <w:rFonts w:hint="default" w:ascii="Times New Roman" w:hAnsi="Times New Roman" w:eastAsia="宋体" w:cs="Times New Roman"/>
                <w:color w:val="auto"/>
                <w:kern w:val="0"/>
                <w:highlight w:val="none"/>
                <w:lang w:val="en-US" w:bidi="zh-CN"/>
              </w:rPr>
              <w:t>1</w:t>
            </w:r>
            <w:r>
              <w:rPr>
                <w:rFonts w:hint="default" w:ascii="Times New Roman" w:hAnsi="Times New Roman" w:eastAsia="宋体" w:cs="Times New Roman"/>
                <w:color w:val="auto"/>
                <w:kern w:val="0"/>
                <w:highlight w:val="none"/>
                <w:lang w:val="zh-CN" w:bidi="zh-CN"/>
              </w:rPr>
              <w:t>h。食堂采用电作为热源。根据调查，人均食用油消耗约</w:t>
            </w:r>
            <w:r>
              <w:rPr>
                <w:rFonts w:hint="default" w:ascii="Times New Roman" w:hAnsi="Times New Roman" w:eastAsia="宋体" w:cs="Times New Roman"/>
                <w:color w:val="auto"/>
                <w:kern w:val="0"/>
                <w:highlight w:val="none"/>
                <w:lang w:val="en-US" w:bidi="zh-CN"/>
              </w:rPr>
              <w:t>15</w:t>
            </w:r>
            <w:r>
              <w:rPr>
                <w:rFonts w:hint="default" w:ascii="Times New Roman" w:hAnsi="Times New Roman" w:eastAsia="宋体" w:cs="Times New Roman"/>
                <w:color w:val="auto"/>
                <w:kern w:val="0"/>
                <w:highlight w:val="none"/>
                <w:lang w:val="zh-CN" w:bidi="zh-CN"/>
              </w:rPr>
              <w:t>g/（人·餐），每日</w:t>
            </w:r>
            <w:r>
              <w:rPr>
                <w:rFonts w:hint="default" w:ascii="Times New Roman" w:hAnsi="Times New Roman" w:eastAsia="宋体" w:cs="Times New Roman"/>
                <w:color w:val="auto"/>
                <w:kern w:val="0"/>
                <w:highlight w:val="none"/>
                <w:lang w:val="en-US" w:bidi="zh-CN"/>
              </w:rPr>
              <w:t>仅提供午餐</w:t>
            </w:r>
            <w:r>
              <w:rPr>
                <w:rFonts w:hint="default" w:ascii="Times New Roman" w:hAnsi="Times New Roman" w:eastAsia="宋体" w:cs="Times New Roman"/>
                <w:color w:val="auto"/>
                <w:kern w:val="0"/>
                <w:highlight w:val="none"/>
                <w:lang w:val="zh-CN" w:bidi="zh-CN"/>
              </w:rPr>
              <w:t>。一般油烟挥发量占总耗油量的2～4%，本次评价取3%，因此本项目职工食堂餐饮油烟产生量为</w:t>
            </w:r>
            <w:r>
              <w:rPr>
                <w:rFonts w:hint="default" w:ascii="Times New Roman" w:hAnsi="Times New Roman" w:eastAsia="宋体" w:cs="Times New Roman"/>
                <w:color w:val="auto"/>
                <w:kern w:val="0"/>
                <w:highlight w:val="none"/>
                <w:lang w:val="en-US" w:bidi="zh-CN"/>
              </w:rPr>
              <w:t>0.014kg/d（0.004</w:t>
            </w:r>
            <w:r>
              <w:rPr>
                <w:rFonts w:hint="default" w:ascii="Times New Roman" w:hAnsi="Times New Roman" w:eastAsia="宋体" w:cs="Times New Roman"/>
                <w:color w:val="auto"/>
                <w:kern w:val="0"/>
                <w:highlight w:val="none"/>
                <w:lang w:val="zh-CN" w:bidi="zh-CN"/>
              </w:rPr>
              <w:t>t/a</w:t>
            </w:r>
            <w:r>
              <w:rPr>
                <w:rFonts w:hint="default" w:ascii="Times New Roman" w:hAnsi="Times New Roman" w:eastAsia="宋体" w:cs="Times New Roman"/>
                <w:color w:val="auto"/>
                <w:kern w:val="0"/>
                <w:highlight w:val="none"/>
                <w:lang w:val="en-US" w:bidi="zh-CN"/>
              </w:rPr>
              <w:t>）</w:t>
            </w:r>
            <w:r>
              <w:rPr>
                <w:rFonts w:hint="default" w:ascii="Times New Roman" w:hAnsi="Times New Roman" w:eastAsia="宋体" w:cs="Times New Roman"/>
                <w:color w:val="auto"/>
                <w:kern w:val="0"/>
                <w:highlight w:val="none"/>
                <w:lang w:val="zh-CN" w:bidi="zh-CN"/>
              </w:rPr>
              <w:t>。环评要求设置一套油烟处理效率≥</w:t>
            </w:r>
            <w:r>
              <w:rPr>
                <w:rFonts w:hint="default" w:ascii="Times New Roman" w:hAnsi="Times New Roman" w:eastAsia="宋体" w:cs="Times New Roman"/>
                <w:color w:val="auto"/>
                <w:kern w:val="0"/>
                <w:highlight w:val="none"/>
                <w:lang w:val="en-US" w:bidi="zh-CN"/>
              </w:rPr>
              <w:t>75</w:t>
            </w:r>
            <w:r>
              <w:rPr>
                <w:rFonts w:hint="default" w:ascii="Times New Roman" w:hAnsi="Times New Roman" w:eastAsia="宋体" w:cs="Times New Roman"/>
                <w:color w:val="auto"/>
                <w:kern w:val="0"/>
                <w:highlight w:val="none"/>
                <w:lang w:val="zh-CN" w:bidi="zh-CN"/>
              </w:rPr>
              <w:t>%的油烟净化装置，灶头上方设置集气罩，油烟经集气罩收集后汇入油烟净化装置，食堂配置油烟机风量为</w:t>
            </w:r>
            <w:r>
              <w:rPr>
                <w:rFonts w:hint="default" w:ascii="Times New Roman" w:hAnsi="Times New Roman" w:eastAsia="宋体" w:cs="Times New Roman"/>
                <w:color w:val="auto"/>
                <w:kern w:val="0"/>
                <w:highlight w:val="none"/>
                <w:lang w:val="en-US" w:bidi="zh-CN"/>
              </w:rPr>
              <w:t>5000</w:t>
            </w:r>
            <w:r>
              <w:rPr>
                <w:rFonts w:hint="default" w:ascii="Times New Roman" w:hAnsi="Times New Roman" w:eastAsia="宋体" w:cs="Times New Roman"/>
                <w:color w:val="auto"/>
                <w:kern w:val="0"/>
                <w:highlight w:val="none"/>
                <w:lang w:val="zh-CN" w:bidi="zh-CN"/>
              </w:rPr>
              <w:t>m</w:t>
            </w:r>
            <w:r>
              <w:rPr>
                <w:rFonts w:hint="default" w:ascii="Times New Roman" w:hAnsi="Times New Roman" w:eastAsia="宋体" w:cs="Times New Roman"/>
                <w:color w:val="auto"/>
                <w:kern w:val="0"/>
                <w:highlight w:val="none"/>
                <w:vertAlign w:val="superscript"/>
                <w:lang w:val="zh-CN" w:bidi="zh-CN"/>
              </w:rPr>
              <w:t>3</w:t>
            </w:r>
            <w:r>
              <w:rPr>
                <w:rFonts w:hint="default" w:ascii="Times New Roman" w:hAnsi="Times New Roman" w:eastAsia="宋体" w:cs="Times New Roman"/>
                <w:color w:val="auto"/>
                <w:kern w:val="0"/>
                <w:highlight w:val="none"/>
                <w:lang w:val="zh-CN" w:bidi="zh-CN"/>
              </w:rPr>
              <w:t>/h，则排放量为</w:t>
            </w:r>
            <w:r>
              <w:rPr>
                <w:rFonts w:hint="default" w:ascii="Times New Roman" w:hAnsi="Times New Roman" w:eastAsia="宋体" w:cs="Times New Roman"/>
                <w:color w:val="auto"/>
                <w:kern w:val="0"/>
                <w:highlight w:val="none"/>
                <w:lang w:val="en-US" w:bidi="zh-CN"/>
              </w:rPr>
              <w:t>0.0084kg/d（0.003t/a），排放</w:t>
            </w:r>
            <w:r>
              <w:rPr>
                <w:rFonts w:hint="default" w:ascii="Times New Roman" w:hAnsi="Times New Roman" w:eastAsia="宋体" w:cs="Times New Roman"/>
                <w:color w:val="auto"/>
                <w:kern w:val="0"/>
                <w:highlight w:val="none"/>
                <w:lang w:val="zh-CN" w:bidi="zh-CN"/>
              </w:rPr>
              <w:t>浓度为</w:t>
            </w:r>
            <w:r>
              <w:rPr>
                <w:rFonts w:hint="default" w:ascii="Times New Roman" w:hAnsi="Times New Roman" w:eastAsia="宋体" w:cs="Times New Roman"/>
                <w:color w:val="auto"/>
                <w:kern w:val="0"/>
                <w:highlight w:val="none"/>
                <w:lang w:val="en-US" w:bidi="zh-CN"/>
              </w:rPr>
              <w:t>1.7</w:t>
            </w:r>
            <w:r>
              <w:rPr>
                <w:rFonts w:hint="default" w:ascii="Times New Roman" w:hAnsi="Times New Roman" w:eastAsia="宋体" w:cs="Times New Roman"/>
                <w:color w:val="auto"/>
                <w:kern w:val="0"/>
                <w:highlight w:val="none"/>
                <w:lang w:val="zh-CN" w:bidi="zh-CN"/>
              </w:rPr>
              <w:t>mg/m</w:t>
            </w:r>
            <w:r>
              <w:rPr>
                <w:rFonts w:hint="default" w:ascii="Times New Roman" w:hAnsi="Times New Roman" w:eastAsia="宋体" w:cs="Times New Roman"/>
                <w:color w:val="auto"/>
                <w:kern w:val="0"/>
                <w:highlight w:val="none"/>
                <w:vertAlign w:val="superscript"/>
                <w:lang w:val="zh-CN" w:bidi="zh-CN"/>
              </w:rPr>
              <w:t>3</w:t>
            </w:r>
            <w:r>
              <w:rPr>
                <w:rFonts w:hint="default" w:ascii="Times New Roman" w:hAnsi="Times New Roman" w:eastAsia="宋体" w:cs="Times New Roman"/>
                <w:color w:val="auto"/>
                <w:kern w:val="0"/>
                <w:highlight w:val="none"/>
                <w:lang w:val="zh-CN" w:bidi="zh-CN"/>
              </w:rPr>
              <w:t>，能够满足《饮食业油烟排放标准（试行）》（GB18483-2001）2.0mg/m</w:t>
            </w:r>
            <w:r>
              <w:rPr>
                <w:rFonts w:hint="default" w:ascii="Times New Roman" w:hAnsi="Times New Roman" w:eastAsia="宋体" w:cs="Times New Roman"/>
                <w:color w:val="auto"/>
                <w:kern w:val="0"/>
                <w:highlight w:val="none"/>
                <w:vertAlign w:val="superscript"/>
                <w:lang w:val="zh-CN" w:bidi="zh-CN"/>
              </w:rPr>
              <w:t>3</w:t>
            </w:r>
            <w:r>
              <w:rPr>
                <w:rFonts w:hint="default" w:ascii="Times New Roman" w:hAnsi="Times New Roman" w:eastAsia="宋体" w:cs="Times New Roman"/>
                <w:color w:val="auto"/>
                <w:kern w:val="0"/>
                <w:highlight w:val="none"/>
                <w:lang w:val="zh-CN" w:bidi="zh-CN"/>
              </w:rPr>
              <w:t>限值要求。</w:t>
            </w:r>
          </w:p>
          <w:p>
            <w:pPr>
              <w:pStyle w:val="14"/>
              <w:ind w:firstLine="480" w:firstLineChars="200"/>
              <w:rPr>
                <w:rFonts w:hint="default" w:ascii="Times New Roman" w:hAnsi="Times New Roman" w:eastAsia="宋体" w:cs="Times New Roman"/>
                <w:color w:val="auto"/>
                <w:kern w:val="0"/>
                <w:highlight w:val="none"/>
                <w:lang w:val="en-US" w:bidi="zh-CN"/>
              </w:rPr>
            </w:pPr>
            <w:r>
              <w:rPr>
                <w:rFonts w:hint="default" w:ascii="Times New Roman" w:hAnsi="Times New Roman" w:eastAsia="宋体" w:cs="Times New Roman"/>
                <w:color w:val="auto"/>
                <w:kern w:val="0"/>
                <w:highlight w:val="none"/>
                <w:lang w:val="zh-CN" w:bidi="zh-CN"/>
              </w:rPr>
              <w:t>（</w:t>
            </w:r>
            <w:r>
              <w:rPr>
                <w:rFonts w:hint="default" w:ascii="Times New Roman" w:hAnsi="Times New Roman" w:eastAsia="宋体" w:cs="Times New Roman"/>
                <w:color w:val="auto"/>
                <w:kern w:val="0"/>
                <w:highlight w:val="none"/>
                <w:lang w:val="en-US" w:bidi="zh-CN"/>
              </w:rPr>
              <w:t>4</w:t>
            </w:r>
            <w:r>
              <w:rPr>
                <w:rFonts w:hint="default" w:ascii="Times New Roman" w:hAnsi="Times New Roman" w:eastAsia="宋体" w:cs="Times New Roman"/>
                <w:color w:val="auto"/>
                <w:kern w:val="0"/>
                <w:highlight w:val="none"/>
                <w:lang w:val="zh-CN" w:bidi="zh-CN"/>
              </w:rPr>
              <w:t>）</w:t>
            </w:r>
            <w:r>
              <w:rPr>
                <w:rFonts w:hint="default" w:ascii="Times New Roman" w:hAnsi="Times New Roman" w:eastAsia="宋体" w:cs="Times New Roman"/>
                <w:color w:val="auto"/>
                <w:kern w:val="0"/>
                <w:highlight w:val="none"/>
                <w:lang w:val="en-US" w:bidi="zh-CN"/>
              </w:rPr>
              <w:t>污水处理站恶臭</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lang w:val="en-US" w:eastAsia="zh-CN"/>
              </w:rPr>
              <w:t>项目污水处理设施在运营过程中，由于伴随微生物、原生动物、菌胶团等生物的新陈代谢而产生恶臭污染物，主要成分为NH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、H</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S等具有臭味的气体。污水处理设施恶臭污染物源强根据美国EPA对城市污水处理厂恶臭污染物产生情况的研究，每去除1g的BO</w:t>
            </w:r>
            <w:r>
              <w:rPr>
                <w:rFonts w:hint="default" w:ascii="Times New Roman" w:hAnsi="Times New Roman" w:eastAsia="宋体" w:cs="Times New Roman"/>
                <w:color w:val="auto"/>
                <w:highlight w:val="none"/>
                <w:lang w:val="en-US" w:eastAsia="zh-CN"/>
              </w:rPr>
              <w:t>D</w:t>
            </w:r>
            <w:r>
              <w:rPr>
                <w:rFonts w:hint="default" w:ascii="Times New Roman" w:hAnsi="Times New Roman" w:eastAsia="宋体" w:cs="Times New Roman"/>
                <w:color w:val="auto"/>
                <w:highlight w:val="none"/>
                <w:vertAlign w:val="subscript"/>
                <w:lang w:val="en-US" w:eastAsia="zh-CN"/>
              </w:rPr>
              <w:t>5</w:t>
            </w:r>
            <w:r>
              <w:rPr>
                <w:rFonts w:hint="default" w:ascii="Times New Roman" w:hAnsi="Times New Roman" w:eastAsia="宋体" w:cs="Times New Roman"/>
                <w:color w:val="auto"/>
                <w:highlight w:val="none"/>
                <w:lang w:val="en-US" w:eastAsia="zh-CN"/>
              </w:rPr>
              <w:t>，可产生0.0031g的NH</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、0.00012g的H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S，根据进出水浓度、设计规模可计算出NH</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和H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S的量。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highlight w:val="none"/>
                <w:lang w:val="en-US" w:eastAsia="zh-CN"/>
              </w:rPr>
              <w:t>根据计算，NH</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的产生量为0.015t/a，H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S的产生量为0.0006t/a，项目采用地埋一体式污水处理站，并使用生物除臭剂进行喷洒，恶臭气体对周边环境影响较小。</w:t>
            </w:r>
            <w:r>
              <w:rPr>
                <w:rFonts w:hint="default" w:ascii="Times New Roman" w:hAnsi="Times New Roman" w:eastAsia="宋体" w:cs="Times New Roman"/>
                <w:color w:val="auto"/>
                <w:sz w:val="24"/>
                <w:highlight w:val="none"/>
                <w:lang w:val="en-US" w:eastAsia="zh-CN"/>
              </w:rPr>
              <w:t>根据《自然科学》现代化农业，2011年第6期(总第383期)“微生物除臭剂研究进展”（赵晓锋，隋文志）的资料，经国家环境分析测试中心和陕西环境监测中心测试养殖场生物除臭剂（大力克、万洁芬等）对NH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和H</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S的去除效率分别为92%和89%。本项目保守统计取89%，排放的恶臭污染物无组织排放量为：NH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0.0016t/a、H</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S0.00006t/a。</w:t>
            </w:r>
          </w:p>
          <w:p>
            <w:pPr>
              <w:keepNext w:val="0"/>
              <w:keepLines w:val="0"/>
              <w:pageBreakBefore w:val="0"/>
              <w:widowControl/>
              <w:kinsoku/>
              <w:wordWrap/>
              <w:overflowPunct/>
              <w:topLinePunct w:val="0"/>
              <w:autoSpaceDE/>
              <w:autoSpaceDN/>
              <w:bidi w:val="0"/>
              <w:spacing w:line="360" w:lineRule="auto"/>
              <w:ind w:firstLine="720" w:firstLineChars="300"/>
              <w:jc w:val="left"/>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w:t>
            </w:r>
            <w:r>
              <w:rPr>
                <w:rFonts w:hint="default" w:ascii="Times New Roman" w:hAnsi="Times New Roman" w:eastAsia="宋体" w:cs="Times New Roman"/>
                <w:color w:val="auto"/>
                <w:kern w:val="0"/>
                <w:sz w:val="24"/>
                <w:szCs w:val="20"/>
                <w:highlight w:val="none"/>
                <w:lang w:val="en-US" w:eastAsia="zh-CN" w:bidi="ar-SA"/>
              </w:rPr>
              <w:t>大气污染物产排</w:t>
            </w:r>
            <w:r>
              <w:rPr>
                <w:rFonts w:hint="default" w:ascii="Times New Roman" w:hAnsi="Times New Roman" w:eastAsia="宋体" w:cs="Times New Roman"/>
                <w:color w:val="auto"/>
                <w:kern w:val="0"/>
                <w:sz w:val="24"/>
                <w:szCs w:val="24"/>
                <w:highlight w:val="none"/>
                <w:lang w:val="en-US" w:eastAsia="zh-CN" w:bidi="ar-SA"/>
              </w:rPr>
              <w:t>情况见表4-9所示。</w:t>
            </w:r>
          </w:p>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表4-</w:t>
            </w:r>
            <w:r>
              <w:rPr>
                <w:rFonts w:hint="default" w:ascii="Times New Roman" w:hAnsi="Times New Roman" w:eastAsia="宋体" w:cs="Times New Roman"/>
                <w:b/>
                <w:bCs/>
                <w:color w:val="auto"/>
                <w:sz w:val="24"/>
                <w:szCs w:val="24"/>
                <w:highlight w:val="none"/>
                <w:lang w:val="en-US" w:eastAsia="zh-CN"/>
              </w:rPr>
              <w:t xml:space="preserve">9  </w:t>
            </w:r>
            <w:r>
              <w:rPr>
                <w:rFonts w:hint="default" w:ascii="Times New Roman" w:hAnsi="Times New Roman" w:eastAsia="宋体" w:cs="Times New Roman"/>
                <w:b/>
                <w:bCs/>
                <w:color w:val="auto"/>
                <w:sz w:val="24"/>
                <w:szCs w:val="24"/>
                <w:highlight w:val="none"/>
              </w:rPr>
              <w:t>运营期大气污染物产排情况一览表</w:t>
            </w:r>
          </w:p>
          <w:tbl>
            <w:tblPr>
              <w:tblStyle w:val="25"/>
              <w:tblW w:w="929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885"/>
              <w:gridCol w:w="1065"/>
              <w:gridCol w:w="1785"/>
              <w:gridCol w:w="1275"/>
              <w:gridCol w:w="1110"/>
              <w:gridCol w:w="1140"/>
              <w:gridCol w:w="8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61"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污染物产生工序</w:t>
                  </w:r>
                </w:p>
              </w:tc>
              <w:tc>
                <w:tcPr>
                  <w:tcW w:w="88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污染物</w:t>
                  </w:r>
                </w:p>
              </w:tc>
              <w:tc>
                <w:tcPr>
                  <w:tcW w:w="106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污染物产生量（t/a）</w:t>
                  </w:r>
                </w:p>
              </w:tc>
              <w:tc>
                <w:tcPr>
                  <w:tcW w:w="178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治理措施</w:t>
                  </w:r>
                </w:p>
              </w:tc>
              <w:tc>
                <w:tcPr>
                  <w:tcW w:w="127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污染物排放量（t/a）</w:t>
                  </w:r>
                </w:p>
              </w:tc>
              <w:tc>
                <w:tcPr>
                  <w:tcW w:w="111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排放速率</w:t>
                  </w:r>
                </w:p>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（kg/h）</w:t>
                  </w:r>
                </w:p>
              </w:tc>
              <w:tc>
                <w:tcPr>
                  <w:tcW w:w="114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排放浓度</w:t>
                  </w:r>
                </w:p>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874"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排放形式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61"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浆水发酵</w:t>
                  </w:r>
                </w:p>
              </w:tc>
              <w:tc>
                <w:tcPr>
                  <w:tcW w:w="88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恶臭浓度</w:t>
                  </w:r>
                </w:p>
              </w:tc>
              <w:tc>
                <w:tcPr>
                  <w:tcW w:w="106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78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发酵全部在全封闭生产车间进行，经车间空气净化系统外排</w:t>
                  </w:r>
                </w:p>
              </w:tc>
              <w:tc>
                <w:tcPr>
                  <w:tcW w:w="127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11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14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74"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无组织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61" w:type="dxa"/>
                  <w:vMerge w:val="restart"/>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锅炉燃气燃烧</w:t>
                  </w:r>
                </w:p>
              </w:tc>
              <w:tc>
                <w:tcPr>
                  <w:tcW w:w="88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颗粒物</w:t>
                  </w:r>
                </w:p>
              </w:tc>
              <w:tc>
                <w:tcPr>
                  <w:tcW w:w="106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0.19</w:t>
                  </w:r>
                </w:p>
              </w:tc>
              <w:tc>
                <w:tcPr>
                  <w:tcW w:w="1785" w:type="dxa"/>
                  <w:vMerge w:val="restart"/>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低氮燃烧器+8m烟囱</w:t>
                  </w:r>
                </w:p>
              </w:tc>
              <w:tc>
                <w:tcPr>
                  <w:tcW w:w="127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0.19</w:t>
                  </w:r>
                </w:p>
              </w:tc>
              <w:tc>
                <w:tcPr>
                  <w:tcW w:w="111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0.067</w:t>
                  </w:r>
                </w:p>
              </w:tc>
              <w:tc>
                <w:tcPr>
                  <w:tcW w:w="114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21.2</w:t>
                  </w:r>
                </w:p>
              </w:tc>
              <w:tc>
                <w:tcPr>
                  <w:tcW w:w="874" w:type="dxa"/>
                  <w:vMerge w:val="restart"/>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有组织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61" w:type="dxa"/>
                  <w:vMerge w:val="continue"/>
                  <w:noWrap w:val="0"/>
                  <w:vAlign w:val="center"/>
                </w:tcPr>
                <w:p>
                  <w:pPr>
                    <w:pStyle w:val="32"/>
                    <w:bidi w:val="0"/>
                    <w:rPr>
                      <w:rFonts w:hint="default" w:ascii="Times New Roman" w:hAnsi="Times New Roman" w:eastAsia="宋体" w:cs="Times New Roman"/>
                      <w:color w:val="auto"/>
                      <w:highlight w:val="none"/>
                      <w:lang w:val="en-US" w:eastAsia="zh-CN"/>
                    </w:rPr>
                  </w:pPr>
                </w:p>
              </w:tc>
              <w:tc>
                <w:tcPr>
                  <w:tcW w:w="88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二氧化硫</w:t>
                  </w:r>
                </w:p>
              </w:tc>
              <w:tc>
                <w:tcPr>
                  <w:tcW w:w="106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0.047</w:t>
                  </w:r>
                </w:p>
              </w:tc>
              <w:tc>
                <w:tcPr>
                  <w:tcW w:w="1785" w:type="dxa"/>
                  <w:vMerge w:val="continue"/>
                  <w:noWrap w:val="0"/>
                  <w:vAlign w:val="center"/>
                </w:tcPr>
                <w:p>
                  <w:pPr>
                    <w:pStyle w:val="32"/>
                    <w:bidi w:val="0"/>
                    <w:rPr>
                      <w:rFonts w:hint="default" w:ascii="Times New Roman" w:hAnsi="Times New Roman" w:eastAsia="宋体" w:cs="Times New Roman"/>
                      <w:color w:val="auto"/>
                      <w:highlight w:val="none"/>
                      <w:lang w:val="en-US" w:eastAsia="zh-CN"/>
                    </w:rPr>
                  </w:pPr>
                </w:p>
              </w:tc>
              <w:tc>
                <w:tcPr>
                  <w:tcW w:w="127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0.13</w:t>
                  </w:r>
                </w:p>
              </w:tc>
              <w:tc>
                <w:tcPr>
                  <w:tcW w:w="111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0.047</w:t>
                  </w:r>
                </w:p>
              </w:tc>
              <w:tc>
                <w:tcPr>
                  <w:tcW w:w="114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14.9</w:t>
                  </w:r>
                </w:p>
              </w:tc>
              <w:tc>
                <w:tcPr>
                  <w:tcW w:w="874" w:type="dxa"/>
                  <w:vMerge w:val="continue"/>
                  <w:noWrap w:val="0"/>
                  <w:vAlign w:val="center"/>
                </w:tcPr>
                <w:p>
                  <w:pPr>
                    <w:pStyle w:val="32"/>
                    <w:bidi w:val="0"/>
                    <w:rPr>
                      <w:rFonts w:hint="default" w:ascii="Times New Roman" w:hAnsi="Times New Roman" w:eastAsia="宋体" w:cs="Times New Roman"/>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61" w:type="dxa"/>
                  <w:vMerge w:val="continue"/>
                  <w:noWrap w:val="0"/>
                  <w:vAlign w:val="center"/>
                </w:tcPr>
                <w:p>
                  <w:pPr>
                    <w:pStyle w:val="32"/>
                    <w:bidi w:val="0"/>
                    <w:rPr>
                      <w:rFonts w:hint="default" w:ascii="Times New Roman" w:hAnsi="Times New Roman" w:eastAsia="宋体" w:cs="Times New Roman"/>
                      <w:color w:val="auto"/>
                      <w:highlight w:val="none"/>
                      <w:lang w:val="en-US" w:eastAsia="zh-CN"/>
                    </w:rPr>
                  </w:pPr>
                </w:p>
              </w:tc>
              <w:tc>
                <w:tcPr>
                  <w:tcW w:w="88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氮氧化物</w:t>
                  </w:r>
                </w:p>
              </w:tc>
              <w:tc>
                <w:tcPr>
                  <w:tcW w:w="106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0.27</w:t>
                  </w:r>
                </w:p>
              </w:tc>
              <w:tc>
                <w:tcPr>
                  <w:tcW w:w="1785" w:type="dxa"/>
                  <w:vMerge w:val="continue"/>
                  <w:noWrap w:val="0"/>
                  <w:vAlign w:val="center"/>
                </w:tcPr>
                <w:p>
                  <w:pPr>
                    <w:pStyle w:val="32"/>
                    <w:bidi w:val="0"/>
                    <w:rPr>
                      <w:rFonts w:hint="default" w:ascii="Times New Roman" w:hAnsi="Times New Roman" w:eastAsia="宋体" w:cs="Times New Roman"/>
                      <w:color w:val="auto"/>
                      <w:highlight w:val="none"/>
                      <w:lang w:val="en-US" w:eastAsia="zh-CN"/>
                    </w:rPr>
                  </w:pPr>
                </w:p>
              </w:tc>
              <w:tc>
                <w:tcPr>
                  <w:tcW w:w="127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0.27</w:t>
                  </w:r>
                </w:p>
              </w:tc>
              <w:tc>
                <w:tcPr>
                  <w:tcW w:w="111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0.095</w:t>
                  </w:r>
                </w:p>
              </w:tc>
              <w:tc>
                <w:tcPr>
                  <w:tcW w:w="114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30</w:t>
                  </w:r>
                </w:p>
              </w:tc>
              <w:tc>
                <w:tcPr>
                  <w:tcW w:w="874" w:type="dxa"/>
                  <w:vMerge w:val="continue"/>
                  <w:noWrap w:val="0"/>
                  <w:vAlign w:val="center"/>
                </w:tcPr>
                <w:p>
                  <w:pPr>
                    <w:pStyle w:val="32"/>
                    <w:bidi w:val="0"/>
                    <w:rPr>
                      <w:rFonts w:hint="default" w:ascii="Times New Roman" w:hAnsi="Times New Roman" w:eastAsia="宋体" w:cs="Times New Roman"/>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61" w:type="dxa"/>
                  <w:vMerge w:val="restart"/>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污水处理设备</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p>
              </w:tc>
              <w:tc>
                <w:tcPr>
                  <w:tcW w:w="106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0.015</w:t>
                  </w:r>
                </w:p>
              </w:tc>
              <w:tc>
                <w:tcPr>
                  <w:tcW w:w="1785" w:type="dxa"/>
                  <w:vMerge w:val="restart"/>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地埋一体式污水处理站+喷洒生物除臭剂</w:t>
                  </w:r>
                </w:p>
              </w:tc>
              <w:tc>
                <w:tcPr>
                  <w:tcW w:w="127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0.0016</w:t>
                  </w:r>
                </w:p>
              </w:tc>
              <w:tc>
                <w:tcPr>
                  <w:tcW w:w="111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14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74" w:type="dxa"/>
                  <w:vMerge w:val="restart"/>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无组织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61" w:type="dxa"/>
                  <w:vMerge w:val="continue"/>
                  <w:noWrap w:val="0"/>
                  <w:vAlign w:val="center"/>
                </w:tcPr>
                <w:p>
                  <w:pPr>
                    <w:pStyle w:val="32"/>
                    <w:bidi w:val="0"/>
                    <w:rPr>
                      <w:rFonts w:hint="default" w:ascii="Times New Roman" w:hAnsi="Times New Roman" w:eastAsia="宋体" w:cs="Times New Roman"/>
                      <w:color w:val="auto"/>
                      <w:highlight w:val="none"/>
                      <w:lang w:val="en-US" w:eastAsia="zh-CN"/>
                    </w:rPr>
                  </w:pP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w:t>
                  </w:r>
                </w:p>
              </w:tc>
              <w:tc>
                <w:tcPr>
                  <w:tcW w:w="106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0.0006</w:t>
                  </w:r>
                </w:p>
              </w:tc>
              <w:tc>
                <w:tcPr>
                  <w:tcW w:w="1785" w:type="dxa"/>
                  <w:vMerge w:val="continue"/>
                  <w:noWrap w:val="0"/>
                  <w:vAlign w:val="center"/>
                </w:tcPr>
                <w:p>
                  <w:pPr>
                    <w:pStyle w:val="32"/>
                    <w:bidi w:val="0"/>
                    <w:rPr>
                      <w:rFonts w:hint="default" w:ascii="Times New Roman" w:hAnsi="Times New Roman" w:eastAsia="宋体" w:cs="Times New Roman"/>
                      <w:color w:val="auto"/>
                      <w:highlight w:val="none"/>
                      <w:lang w:val="en-US" w:eastAsia="zh-CN"/>
                    </w:rPr>
                  </w:pPr>
                </w:p>
              </w:tc>
              <w:tc>
                <w:tcPr>
                  <w:tcW w:w="127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0.00006</w:t>
                  </w:r>
                </w:p>
              </w:tc>
              <w:tc>
                <w:tcPr>
                  <w:tcW w:w="111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14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74" w:type="dxa"/>
                  <w:vMerge w:val="continue"/>
                  <w:noWrap w:val="0"/>
                  <w:vAlign w:val="center"/>
                </w:tcPr>
                <w:p>
                  <w:pPr>
                    <w:pStyle w:val="32"/>
                    <w:bidi w:val="0"/>
                    <w:rPr>
                      <w:rFonts w:hint="default" w:ascii="Times New Roman" w:hAnsi="Times New Roman" w:eastAsia="宋体" w:cs="Times New Roman"/>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61"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餐食</w:t>
                  </w:r>
                </w:p>
              </w:tc>
              <w:tc>
                <w:tcPr>
                  <w:tcW w:w="88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油烟</w:t>
                  </w:r>
                </w:p>
              </w:tc>
              <w:tc>
                <w:tcPr>
                  <w:tcW w:w="106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0.012</w:t>
                  </w:r>
                </w:p>
              </w:tc>
              <w:tc>
                <w:tcPr>
                  <w:tcW w:w="178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油烟净化器+专用烟道</w:t>
                  </w:r>
                </w:p>
              </w:tc>
              <w:tc>
                <w:tcPr>
                  <w:tcW w:w="127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0.003</w:t>
                  </w:r>
                </w:p>
              </w:tc>
              <w:tc>
                <w:tcPr>
                  <w:tcW w:w="111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0.0084</w:t>
                  </w:r>
                </w:p>
              </w:tc>
              <w:tc>
                <w:tcPr>
                  <w:tcW w:w="114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1.7</w:t>
                  </w:r>
                </w:p>
              </w:tc>
              <w:tc>
                <w:tcPr>
                  <w:tcW w:w="874"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无组织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61"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面汤熬制</w:t>
                  </w:r>
                </w:p>
              </w:tc>
              <w:tc>
                <w:tcPr>
                  <w:tcW w:w="88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颗粒物</w:t>
                  </w:r>
                </w:p>
              </w:tc>
              <w:tc>
                <w:tcPr>
                  <w:tcW w:w="106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78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在全封闭生产车间进行，经车间空气净化系统外排</w:t>
                  </w:r>
                </w:p>
              </w:tc>
              <w:tc>
                <w:tcPr>
                  <w:tcW w:w="1275"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极少量</w:t>
                  </w:r>
                </w:p>
              </w:tc>
              <w:tc>
                <w:tcPr>
                  <w:tcW w:w="111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140"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74" w:type="dxa"/>
                  <w:noWrap w:val="0"/>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无组织</w:t>
                  </w:r>
                </w:p>
              </w:tc>
            </w:tr>
          </w:tbl>
          <w:p>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1.3污染物排放量核算</w:t>
            </w:r>
          </w:p>
          <w:p>
            <w:pPr>
              <w:snapToGrid w:val="0"/>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拟</w:t>
            </w:r>
            <w:r>
              <w:rPr>
                <w:rFonts w:hint="default" w:ascii="Times New Roman" w:hAnsi="Times New Roman" w:eastAsia="宋体" w:cs="Times New Roman"/>
                <w:color w:val="auto"/>
                <w:highlight w:val="none"/>
              </w:rPr>
              <w:t>建项目大气污染物有组织排放量核算见下表。</w:t>
            </w:r>
          </w:p>
          <w:p>
            <w:pPr>
              <w:snapToGrid w:val="0"/>
              <w:spacing w:line="36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w:t>
            </w:r>
            <w:r>
              <w:rPr>
                <w:rFonts w:hint="default" w:ascii="Times New Roman" w:hAnsi="Times New Roman" w:eastAsia="宋体" w:cs="Times New Roman"/>
                <w:b/>
                <w:bCs/>
                <w:color w:val="auto"/>
                <w:highlight w:val="none"/>
                <w:lang w:val="en-US" w:eastAsia="zh-CN"/>
              </w:rPr>
              <w:t>10</w:t>
            </w:r>
            <w:r>
              <w:rPr>
                <w:rFonts w:hint="default" w:ascii="Times New Roman" w:hAnsi="Times New Roman" w:eastAsia="宋体" w:cs="Times New Roman"/>
                <w:b/>
                <w:bCs/>
                <w:color w:val="auto"/>
                <w:highlight w:val="none"/>
              </w:rPr>
              <w:t xml:space="preserve">   大气污染物有组织排放量核算表</w:t>
            </w:r>
          </w:p>
          <w:tbl>
            <w:tblPr>
              <w:tblStyle w:val="24"/>
              <w:tblW w:w="913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514"/>
              <w:gridCol w:w="1514"/>
              <w:gridCol w:w="1515"/>
              <w:gridCol w:w="1541"/>
              <w:gridCol w:w="15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2"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序号</w:t>
                  </w:r>
                </w:p>
              </w:tc>
              <w:tc>
                <w:tcPr>
                  <w:tcW w:w="1514"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排放口</w:t>
                  </w:r>
                </w:p>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编号</w:t>
                  </w:r>
                </w:p>
              </w:tc>
              <w:tc>
                <w:tcPr>
                  <w:tcW w:w="1514"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污染物</w:t>
                  </w:r>
                </w:p>
              </w:tc>
              <w:tc>
                <w:tcPr>
                  <w:tcW w:w="151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核算排放浓度（mg/m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54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核算排放速率（kg/h）</w:t>
                  </w:r>
                </w:p>
              </w:tc>
              <w:tc>
                <w:tcPr>
                  <w:tcW w:w="156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核算年排放量（t/a）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31" w:type="dxa"/>
                  <w:gridSpan w:val="6"/>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2" w:type="dxa"/>
                  <w:vMerge w:val="restart"/>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514" w:type="dxa"/>
                  <w:vMerge w:val="restart"/>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DA001</w:t>
                  </w:r>
                </w:p>
              </w:tc>
              <w:tc>
                <w:tcPr>
                  <w:tcW w:w="1514"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w:t>
                  </w:r>
                </w:p>
              </w:tc>
              <w:tc>
                <w:tcPr>
                  <w:tcW w:w="151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21.2</w:t>
                  </w:r>
                </w:p>
              </w:tc>
              <w:tc>
                <w:tcPr>
                  <w:tcW w:w="154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0.067</w:t>
                  </w:r>
                </w:p>
              </w:tc>
              <w:tc>
                <w:tcPr>
                  <w:tcW w:w="156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2" w:type="dxa"/>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1514" w:type="dxa"/>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1514"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二氧化硫</w:t>
                  </w:r>
                </w:p>
              </w:tc>
              <w:tc>
                <w:tcPr>
                  <w:tcW w:w="151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14.9</w:t>
                  </w:r>
                </w:p>
              </w:tc>
              <w:tc>
                <w:tcPr>
                  <w:tcW w:w="154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0.047</w:t>
                  </w:r>
                </w:p>
              </w:tc>
              <w:tc>
                <w:tcPr>
                  <w:tcW w:w="156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2" w:type="dxa"/>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1514" w:type="dxa"/>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1514"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氮氧化物</w:t>
                  </w:r>
                </w:p>
              </w:tc>
              <w:tc>
                <w:tcPr>
                  <w:tcW w:w="151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30</w:t>
                  </w:r>
                </w:p>
              </w:tc>
              <w:tc>
                <w:tcPr>
                  <w:tcW w:w="154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0.095</w:t>
                  </w:r>
                </w:p>
              </w:tc>
              <w:tc>
                <w:tcPr>
                  <w:tcW w:w="156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2" w:type="dxa"/>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1514" w:type="dxa"/>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1514"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林格曼黑度</w:t>
                  </w:r>
                </w:p>
              </w:tc>
              <w:tc>
                <w:tcPr>
                  <w:tcW w:w="151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41"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6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96" w:type="dxa"/>
                  <w:gridSpan w:val="2"/>
                  <w:vMerge w:val="restart"/>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一般排放口合计</w:t>
                  </w:r>
                </w:p>
              </w:tc>
              <w:tc>
                <w:tcPr>
                  <w:tcW w:w="4570" w:type="dxa"/>
                  <w:gridSpan w:val="3"/>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颗粒物</w:t>
                  </w:r>
                </w:p>
              </w:tc>
              <w:tc>
                <w:tcPr>
                  <w:tcW w:w="156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96" w:type="dxa"/>
                  <w:gridSpan w:val="2"/>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4570" w:type="dxa"/>
                  <w:gridSpan w:val="3"/>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二氧化硫</w:t>
                  </w:r>
                </w:p>
              </w:tc>
              <w:tc>
                <w:tcPr>
                  <w:tcW w:w="156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96" w:type="dxa"/>
                  <w:gridSpan w:val="2"/>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4570" w:type="dxa"/>
                  <w:gridSpan w:val="3"/>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氮氧化物</w:t>
                  </w:r>
                </w:p>
              </w:tc>
              <w:tc>
                <w:tcPr>
                  <w:tcW w:w="156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96" w:type="dxa"/>
                  <w:gridSpan w:val="2"/>
                  <w:vMerge w:val="continue"/>
                  <w:noWrap w:val="0"/>
                  <w:vAlign w:val="center"/>
                </w:tcPr>
                <w:p>
                  <w:pPr>
                    <w:pStyle w:val="32"/>
                    <w:bidi w:val="0"/>
                    <w:rPr>
                      <w:rFonts w:hint="default" w:ascii="Times New Roman" w:hAnsi="Times New Roman" w:eastAsia="宋体" w:cs="Times New Roman"/>
                      <w:color w:val="auto"/>
                      <w:lang w:val="en-US" w:eastAsia="zh-CN"/>
                    </w:rPr>
                  </w:pPr>
                </w:p>
              </w:tc>
              <w:tc>
                <w:tcPr>
                  <w:tcW w:w="4570" w:type="dxa"/>
                  <w:gridSpan w:val="3"/>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林格曼黑度</w:t>
                  </w:r>
                </w:p>
              </w:tc>
              <w:tc>
                <w:tcPr>
                  <w:tcW w:w="156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31" w:type="dxa"/>
                  <w:gridSpan w:val="6"/>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有组织排放总计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96" w:type="dxa"/>
                  <w:gridSpan w:val="2"/>
                  <w:vMerge w:val="restart"/>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有组织排放总计</w:t>
                  </w:r>
                </w:p>
              </w:tc>
              <w:tc>
                <w:tcPr>
                  <w:tcW w:w="4570" w:type="dxa"/>
                  <w:gridSpan w:val="3"/>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颗粒物</w:t>
                  </w:r>
                </w:p>
              </w:tc>
              <w:tc>
                <w:tcPr>
                  <w:tcW w:w="156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96" w:type="dxa"/>
                  <w:gridSpan w:val="2"/>
                  <w:vMerge w:val="continue"/>
                  <w:noWrap w:val="0"/>
                  <w:vAlign w:val="center"/>
                </w:tcPr>
                <w:p>
                  <w:pPr>
                    <w:pStyle w:val="32"/>
                    <w:bidi w:val="0"/>
                    <w:rPr>
                      <w:rFonts w:hint="default" w:ascii="Times New Roman" w:hAnsi="Times New Roman" w:eastAsia="宋体" w:cs="Times New Roman"/>
                      <w:color w:val="auto"/>
                    </w:rPr>
                  </w:pPr>
                </w:p>
              </w:tc>
              <w:tc>
                <w:tcPr>
                  <w:tcW w:w="4570" w:type="dxa"/>
                  <w:gridSpan w:val="3"/>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二氧化硫</w:t>
                  </w:r>
                </w:p>
              </w:tc>
              <w:tc>
                <w:tcPr>
                  <w:tcW w:w="156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96" w:type="dxa"/>
                  <w:gridSpan w:val="2"/>
                  <w:vMerge w:val="continue"/>
                  <w:noWrap w:val="0"/>
                  <w:vAlign w:val="center"/>
                </w:tcPr>
                <w:p>
                  <w:pPr>
                    <w:pStyle w:val="32"/>
                    <w:bidi w:val="0"/>
                    <w:rPr>
                      <w:rFonts w:hint="default" w:ascii="Times New Roman" w:hAnsi="Times New Roman" w:eastAsia="宋体" w:cs="Times New Roman"/>
                      <w:color w:val="auto"/>
                    </w:rPr>
                  </w:pPr>
                </w:p>
              </w:tc>
              <w:tc>
                <w:tcPr>
                  <w:tcW w:w="4570" w:type="dxa"/>
                  <w:gridSpan w:val="3"/>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氮氧化物</w:t>
                  </w:r>
                </w:p>
              </w:tc>
              <w:tc>
                <w:tcPr>
                  <w:tcW w:w="156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96" w:type="dxa"/>
                  <w:gridSpan w:val="2"/>
                  <w:vMerge w:val="continue"/>
                  <w:noWrap w:val="0"/>
                  <w:vAlign w:val="center"/>
                </w:tcPr>
                <w:p>
                  <w:pPr>
                    <w:pStyle w:val="32"/>
                    <w:bidi w:val="0"/>
                    <w:rPr>
                      <w:rFonts w:hint="default" w:ascii="Times New Roman" w:hAnsi="Times New Roman" w:eastAsia="宋体" w:cs="Times New Roman"/>
                      <w:color w:val="auto"/>
                    </w:rPr>
                  </w:pPr>
                </w:p>
              </w:tc>
              <w:tc>
                <w:tcPr>
                  <w:tcW w:w="4570" w:type="dxa"/>
                  <w:gridSpan w:val="3"/>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林格曼黑度</w:t>
                  </w:r>
                </w:p>
              </w:tc>
              <w:tc>
                <w:tcPr>
                  <w:tcW w:w="156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bl>
          <w:p>
            <w:pPr>
              <w:adjustRightInd w:val="0"/>
              <w:snapToGrid w:val="0"/>
              <w:spacing w:line="360" w:lineRule="auto"/>
              <w:ind w:firstLine="480" w:firstLineChars="2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本项目大气污染物无组织排放量核算表详见下表4-</w:t>
            </w:r>
            <w:r>
              <w:rPr>
                <w:rFonts w:hint="default" w:ascii="Times New Roman" w:hAnsi="Times New Roman" w:eastAsia="宋体" w:cs="Times New Roman"/>
                <w:color w:val="auto"/>
                <w:highlight w:val="none"/>
                <w:lang w:val="en-US" w:eastAsia="zh-CN"/>
              </w:rPr>
              <w:t>11</w:t>
            </w:r>
            <w:r>
              <w:rPr>
                <w:rFonts w:hint="default" w:ascii="Times New Roman" w:hAnsi="Times New Roman" w:eastAsia="宋体" w:cs="Times New Roman"/>
                <w:color w:val="auto"/>
                <w:highlight w:val="none"/>
              </w:rPr>
              <w:t>，大气污染物年排放量核算见表4-</w:t>
            </w:r>
            <w:r>
              <w:rPr>
                <w:rFonts w:hint="default"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rPr>
              <w:t>。</w:t>
            </w:r>
          </w:p>
          <w:p>
            <w:pPr>
              <w:spacing w:line="360" w:lineRule="auto"/>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w:t>
            </w:r>
            <w:r>
              <w:rPr>
                <w:rFonts w:hint="default" w:ascii="Times New Roman" w:hAnsi="Times New Roman" w:eastAsia="宋体" w:cs="Times New Roman"/>
                <w:b/>
                <w:bCs/>
                <w:color w:val="auto"/>
                <w:lang w:val="en-US" w:eastAsia="zh-CN"/>
              </w:rPr>
              <w:t>11</w:t>
            </w:r>
            <w:r>
              <w:rPr>
                <w:rFonts w:hint="default" w:ascii="Times New Roman" w:hAnsi="Times New Roman" w:eastAsia="宋体" w:cs="Times New Roman"/>
                <w:b/>
                <w:bCs/>
                <w:color w:val="auto"/>
              </w:rPr>
              <w:t xml:space="preserve">  本项目大气污染物无组织排放量核算表</w:t>
            </w:r>
          </w:p>
          <w:tbl>
            <w:tblPr>
              <w:tblStyle w:val="24"/>
              <w:tblW w:w="9131"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59"/>
              <w:gridCol w:w="1100"/>
              <w:gridCol w:w="927"/>
              <w:gridCol w:w="1846"/>
              <w:gridCol w:w="2324"/>
              <w:gridCol w:w="1411"/>
              <w:gridCol w:w="106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59" w:type="dxa"/>
                  <w:vMerge w:val="restart"/>
                  <w:tcBorders>
                    <w:top w:val="single" w:color="000000" w:sz="8"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00" w:type="dxa"/>
                  <w:vMerge w:val="restart"/>
                  <w:tcBorders>
                    <w:top w:val="single" w:color="000000" w:sz="8"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产</w:t>
                  </w:r>
                  <w:r>
                    <w:rPr>
                      <w:rFonts w:hint="default" w:ascii="Times New Roman" w:hAnsi="Times New Roman" w:eastAsia="宋体" w:cs="Times New Roman"/>
                      <w:color w:val="auto"/>
                      <w:sz w:val="21"/>
                      <w:szCs w:val="21"/>
                      <w:lang w:val="en-US" w:eastAsia="zh-CN"/>
                    </w:rPr>
                    <w:t>污</w:t>
                  </w:r>
                </w:p>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环节</w:t>
                  </w:r>
                </w:p>
              </w:tc>
              <w:tc>
                <w:tcPr>
                  <w:tcW w:w="927" w:type="dxa"/>
                  <w:vMerge w:val="restart"/>
                  <w:tcBorders>
                    <w:top w:val="single" w:color="000000" w:sz="8"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846" w:type="dxa"/>
                  <w:vMerge w:val="restart"/>
                  <w:tcBorders>
                    <w:top w:val="single" w:color="000000" w:sz="8"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主要污防治措施</w:t>
                  </w:r>
                </w:p>
              </w:tc>
              <w:tc>
                <w:tcPr>
                  <w:tcW w:w="3735" w:type="dxa"/>
                  <w:gridSpan w:val="2"/>
                  <w:tcBorders>
                    <w:top w:val="single" w:color="000000" w:sz="8"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国家或地方污染物排放标准</w:t>
                  </w:r>
                </w:p>
              </w:tc>
              <w:tc>
                <w:tcPr>
                  <w:tcW w:w="1064" w:type="dxa"/>
                  <w:vMerge w:val="restart"/>
                  <w:tcBorders>
                    <w:top w:val="single" w:color="000000" w:sz="8"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59"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100"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927"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846"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324"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标准名称</w:t>
                  </w:r>
                </w:p>
              </w:tc>
              <w:tc>
                <w:tcPr>
                  <w:tcW w:w="1411"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排放限值</w:t>
                  </w:r>
                </w:p>
              </w:tc>
              <w:tc>
                <w:tcPr>
                  <w:tcW w:w="1064"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59"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10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发酵废气</w:t>
                  </w:r>
                </w:p>
              </w:tc>
              <w:tc>
                <w:tcPr>
                  <w:tcW w:w="927"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臭气</w:t>
                  </w:r>
                </w:p>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浓度</w:t>
                  </w:r>
                </w:p>
              </w:tc>
              <w:tc>
                <w:tcPr>
                  <w:tcW w:w="1846" w:type="dxa"/>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contextualSpacing/>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vertAlign w:val="baseline"/>
                      <w:lang w:val="en-US" w:eastAsia="zh-CN"/>
                    </w:rPr>
                    <w:t>全部在全封闭生产车间进行，车间配备10万级空气净化系统</w:t>
                  </w:r>
                </w:p>
              </w:tc>
              <w:tc>
                <w:tcPr>
                  <w:tcW w:w="2324" w:type="dxa"/>
                  <w:noWrap w:val="0"/>
                  <w:vAlign w:val="center"/>
                </w:tcPr>
                <w:p>
                  <w:pPr>
                    <w:keepNext w:val="0"/>
                    <w:keepLines w:val="0"/>
                    <w:pageBreakBefore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《恶臭污染物排放标准》（GB14554-1993）</w:t>
                  </w:r>
                </w:p>
              </w:tc>
              <w:tc>
                <w:tcPr>
                  <w:tcW w:w="1411"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1064"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59"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10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面粉投加</w:t>
                  </w:r>
                </w:p>
              </w:tc>
              <w:tc>
                <w:tcPr>
                  <w:tcW w:w="927"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846" w:type="dxa"/>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封闭生产车间进行，车间配备10万级空气净化系统</w:t>
                  </w:r>
                </w:p>
              </w:tc>
              <w:tc>
                <w:tcPr>
                  <w:tcW w:w="2324" w:type="dxa"/>
                  <w:noWrap w:val="0"/>
                  <w:vAlign w:val="center"/>
                </w:tcPr>
                <w:p>
                  <w:pPr>
                    <w:keepNext w:val="0"/>
                    <w:keepLines w:val="0"/>
                    <w:pageBreakBefore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4"/>
                      <w:szCs w:val="20"/>
                      <w:lang w:val="en-US" w:eastAsia="zh-CN" w:bidi="ar-SA"/>
                    </w:rPr>
                    <w:t>《大气污染物综合排放标准》（GB16297-1996）</w:t>
                  </w:r>
                </w:p>
              </w:tc>
              <w:tc>
                <w:tcPr>
                  <w:tcW w:w="1411"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064"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59" w:type="dxa"/>
                  <w:vMerge w:val="restart"/>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100" w:type="dxa"/>
                  <w:vMerge w:val="restart"/>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p>
              </w:tc>
              <w:tc>
                <w:tcPr>
                  <w:tcW w:w="1846" w:type="dxa"/>
                  <w:vMerge w:val="restart"/>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地埋一体式污水处理设备</w:t>
                  </w:r>
                </w:p>
              </w:tc>
              <w:tc>
                <w:tcPr>
                  <w:tcW w:w="2324" w:type="dxa"/>
                  <w:vMerge w:val="restart"/>
                  <w:noWrap w:val="0"/>
                  <w:vAlign w:val="center"/>
                </w:tcPr>
                <w:p>
                  <w:pPr>
                    <w:keepNext w:val="0"/>
                    <w:keepLines w:val="0"/>
                    <w:pageBreakBefore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aps w:val="0"/>
                      <w:color w:val="auto"/>
                      <w:spacing w:val="0"/>
                      <w:kern w:val="0"/>
                      <w:sz w:val="21"/>
                      <w:szCs w:val="21"/>
                      <w:u w:val="none" w:color="auto"/>
                      <w:vertAlign w:val="baseline"/>
                      <w:lang w:val="en-US" w:eastAsia="zh-CN" w:bidi="ar"/>
                    </w:rPr>
                    <w:t>《恶臭污染物排放标准》（GB14554-93）</w:t>
                  </w:r>
                </w:p>
              </w:tc>
              <w:tc>
                <w:tcPr>
                  <w:tcW w:w="141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064" w:type="dxa"/>
                  <w:noWrap w:val="0"/>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highlight w:val="none"/>
                      <w:lang w:val="en-US" w:eastAsia="zh-CN"/>
                    </w:rPr>
                    <w:t>0.0016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59"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100"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w:t>
                  </w:r>
                </w:p>
              </w:tc>
              <w:tc>
                <w:tcPr>
                  <w:tcW w:w="1846" w:type="dxa"/>
                  <w:vMerge w:val="continue"/>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p>
              </w:tc>
              <w:tc>
                <w:tcPr>
                  <w:tcW w:w="2324"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contextualSpacing/>
                    <w:jc w:val="center"/>
                    <w:textAlignment w:val="auto"/>
                    <w:rPr>
                      <w:rFonts w:hint="default" w:ascii="Times New Roman" w:hAnsi="Times New Roman" w:eastAsia="宋体" w:cs="Times New Roman"/>
                      <w:color w:val="auto"/>
                      <w:sz w:val="21"/>
                      <w:szCs w:val="21"/>
                      <w:lang w:eastAsia="zh-CN"/>
                    </w:rPr>
                  </w:pPr>
                </w:p>
              </w:tc>
              <w:tc>
                <w:tcPr>
                  <w:tcW w:w="141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064" w:type="dxa"/>
                  <w:noWrap w:val="0"/>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highlight w:val="none"/>
                      <w:lang w:val="en-US" w:eastAsia="zh-CN"/>
                    </w:rPr>
                    <w:t>0.00006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559" w:type="dxa"/>
                  <w:gridSpan w:val="2"/>
                  <w:vMerge w:val="restart"/>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无组织排放总计</w:t>
                  </w:r>
                </w:p>
              </w:tc>
              <w:tc>
                <w:tcPr>
                  <w:tcW w:w="6508" w:type="dxa"/>
                  <w:gridSpan w:val="4"/>
                  <w:tcBorders>
                    <w:bottom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p>
              </w:tc>
              <w:tc>
                <w:tcPr>
                  <w:tcW w:w="1064" w:type="dxa"/>
                  <w:tcBorders>
                    <w:bottom w:val="single" w:color="auto" w:sz="4" w:space="0"/>
                  </w:tcBorders>
                  <w:noWrap w:val="0"/>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highlight w:val="none"/>
                      <w:lang w:val="en-US" w:eastAsia="zh-CN"/>
                    </w:rPr>
                    <w:t>0.0016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559" w:type="dxa"/>
                  <w:gridSpan w:val="2"/>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rPr>
                  </w:pPr>
                </w:p>
              </w:tc>
              <w:tc>
                <w:tcPr>
                  <w:tcW w:w="6508" w:type="dxa"/>
                  <w:gridSpan w:val="4"/>
                  <w:tcBorders>
                    <w:bottom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w:t>
                  </w:r>
                </w:p>
              </w:tc>
              <w:tc>
                <w:tcPr>
                  <w:tcW w:w="1064" w:type="dxa"/>
                  <w:tcBorders>
                    <w:bottom w:val="single" w:color="auto" w:sz="4" w:space="0"/>
                  </w:tcBorders>
                  <w:noWrap w:val="0"/>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highlight w:val="none"/>
                      <w:lang w:val="en-US" w:eastAsia="zh-CN"/>
                    </w:rPr>
                    <w:t>0.00006</w:t>
                  </w:r>
                </w:p>
              </w:tc>
            </w:tr>
          </w:tbl>
          <w:p>
            <w:pPr>
              <w:spacing w:line="360" w:lineRule="auto"/>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w:t>
            </w:r>
            <w:r>
              <w:rPr>
                <w:rFonts w:hint="default" w:ascii="Times New Roman" w:hAnsi="Times New Roman" w:eastAsia="宋体" w:cs="Times New Roman"/>
                <w:b/>
                <w:bCs/>
                <w:color w:val="auto"/>
                <w:lang w:val="en-US" w:eastAsia="zh-CN"/>
              </w:rPr>
              <w:t>12</w:t>
            </w:r>
            <w:r>
              <w:rPr>
                <w:rFonts w:hint="default" w:ascii="Times New Roman" w:hAnsi="Times New Roman" w:eastAsia="宋体" w:cs="Times New Roman"/>
                <w:b/>
                <w:bCs/>
                <w:color w:val="auto"/>
              </w:rPr>
              <w:t xml:space="preserve">   本项目大气污染物年排放量核算表</w:t>
            </w:r>
          </w:p>
          <w:tbl>
            <w:tblPr>
              <w:tblStyle w:val="24"/>
              <w:tblW w:w="9131" w:type="dxa"/>
              <w:tblInd w:w="0" w:type="dxa"/>
              <w:tblBorders>
                <w:top w:val="single" w:color="auto" w:sz="12"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500"/>
              <w:gridCol w:w="3575"/>
              <w:gridCol w:w="3056"/>
            </w:tblGrid>
            <w:tr>
              <w:tblPrEx>
                <w:tblBorders>
                  <w:top w:val="single" w:color="auto" w:sz="12"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2500" w:type="dxa"/>
                  <w:tcBorders>
                    <w:top w:val="single" w:color="auto" w:sz="8"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575" w:type="dxa"/>
                  <w:tcBorders>
                    <w:top w:val="single" w:color="auto" w:sz="8"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3056" w:type="dxa"/>
                  <w:tcBorders>
                    <w:top w:val="single" w:color="auto" w:sz="8"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年排放量（t/a）</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7" w:hRule="atLeast"/>
              </w:trPr>
              <w:tc>
                <w:tcPr>
                  <w:tcW w:w="2500"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575"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3056" w:type="dxa"/>
                  <w:noWrap w:val="0"/>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0.19</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7" w:hRule="atLeast"/>
              </w:trPr>
              <w:tc>
                <w:tcPr>
                  <w:tcW w:w="250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575"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3056" w:type="dxa"/>
                  <w:noWrap w:val="0"/>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0.13</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7" w:hRule="atLeast"/>
              </w:trPr>
              <w:tc>
                <w:tcPr>
                  <w:tcW w:w="250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3575"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3056" w:type="dxa"/>
                  <w:noWrap w:val="0"/>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0.27</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7" w:hRule="atLeast"/>
              </w:trPr>
              <w:tc>
                <w:tcPr>
                  <w:tcW w:w="250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5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p>
              </w:tc>
              <w:tc>
                <w:tcPr>
                  <w:tcW w:w="3056" w:type="dxa"/>
                  <w:noWrap w:val="0"/>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highlight w:val="none"/>
                      <w:lang w:val="en-US" w:eastAsia="zh-CN"/>
                    </w:rPr>
                    <w:t>0.0016</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7" w:hRule="atLeast"/>
              </w:trPr>
              <w:tc>
                <w:tcPr>
                  <w:tcW w:w="250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35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w:t>
                  </w:r>
                </w:p>
              </w:tc>
              <w:tc>
                <w:tcPr>
                  <w:tcW w:w="3056" w:type="dxa"/>
                  <w:noWrap w:val="0"/>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highlight w:val="none"/>
                      <w:lang w:val="en-US" w:eastAsia="zh-CN"/>
                    </w:rPr>
                    <w:t>0.00006</w:t>
                  </w:r>
                </w:p>
              </w:tc>
            </w:tr>
          </w:tbl>
          <w:p>
            <w:pPr>
              <w:bidi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1.4废气达标分析及治理措施可行性分析</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（1）锅炉有组织废气治理措施及可行性分析</w:t>
            </w:r>
          </w:p>
          <w:p>
            <w:pPr>
              <w:widowControl w:val="0"/>
              <w:spacing w:after="0" w:line="360" w:lineRule="auto"/>
              <w:ind w:left="0" w:leftChars="0" w:firstLine="480" w:firstLineChars="200"/>
              <w:jc w:val="both"/>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项目采用1台3t/h燃气蒸汽锅炉进行生产供汽，锅炉配套低氮燃烧器，烟气经8m长烟囱排空，经估算，烟气经上述措施处理后SO</w:t>
            </w:r>
            <w:r>
              <w:rPr>
                <w:rFonts w:hint="default" w:ascii="Times New Roman" w:hAnsi="Times New Roman" w:eastAsia="宋体" w:cs="Times New Roman"/>
                <w:color w:val="auto"/>
                <w:kern w:val="0"/>
                <w:sz w:val="24"/>
                <w:szCs w:val="20"/>
                <w:vertAlign w:val="subscript"/>
                <w:lang w:val="en-US" w:eastAsia="zh-CN" w:bidi="ar-SA"/>
              </w:rPr>
              <w:t>2</w:t>
            </w:r>
            <w:r>
              <w:rPr>
                <w:rFonts w:hint="default" w:ascii="Times New Roman" w:hAnsi="Times New Roman" w:eastAsia="宋体" w:cs="Times New Roman"/>
                <w:color w:val="auto"/>
                <w:kern w:val="0"/>
                <w:sz w:val="24"/>
                <w:szCs w:val="20"/>
                <w:lang w:val="en-US" w:eastAsia="zh-CN" w:bidi="ar-SA"/>
              </w:rPr>
              <w:t>排放浓度为14.9mg/m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，NO</w:t>
            </w:r>
            <w:r>
              <w:rPr>
                <w:rFonts w:hint="default" w:ascii="Times New Roman" w:hAnsi="Times New Roman" w:eastAsia="宋体" w:cs="Times New Roman"/>
                <w:color w:val="auto"/>
                <w:kern w:val="0"/>
                <w:sz w:val="24"/>
                <w:szCs w:val="20"/>
                <w:vertAlign w:val="subscript"/>
                <w:lang w:val="en-US" w:eastAsia="zh-CN" w:bidi="ar-SA"/>
              </w:rPr>
              <w:t>X</w:t>
            </w:r>
            <w:r>
              <w:rPr>
                <w:rFonts w:hint="default" w:ascii="Times New Roman" w:hAnsi="Times New Roman" w:eastAsia="宋体" w:cs="Times New Roman"/>
                <w:color w:val="auto"/>
                <w:kern w:val="0"/>
                <w:sz w:val="24"/>
                <w:szCs w:val="20"/>
                <w:lang w:val="en-US" w:eastAsia="zh-CN" w:bidi="ar-SA"/>
              </w:rPr>
              <w:t>排放浓度为30mg/m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，颗粒物排放浓度为21.2mg/m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，均满足《锅炉大气污染物排放标准》（GB13271-2014）表2新建锅炉大气污染物排放标准中的燃气锅炉标准要求（颗粒物20mg/m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、SO</w:t>
            </w:r>
            <w:r>
              <w:rPr>
                <w:rFonts w:hint="default" w:ascii="Times New Roman" w:hAnsi="Times New Roman" w:eastAsia="宋体" w:cs="Times New Roman"/>
                <w:color w:val="auto"/>
                <w:kern w:val="0"/>
                <w:sz w:val="24"/>
                <w:szCs w:val="20"/>
                <w:vertAlign w:val="subscript"/>
                <w:lang w:val="en-US" w:eastAsia="zh-CN" w:bidi="ar-SA"/>
              </w:rPr>
              <w:t>2</w:t>
            </w:r>
            <w:r>
              <w:rPr>
                <w:rFonts w:hint="default" w:ascii="Times New Roman" w:hAnsi="Times New Roman" w:eastAsia="宋体" w:cs="Times New Roman"/>
                <w:color w:val="auto"/>
                <w:kern w:val="0"/>
                <w:sz w:val="24"/>
                <w:szCs w:val="20"/>
                <w:lang w:val="en-US" w:eastAsia="zh-CN" w:bidi="ar-SA"/>
              </w:rPr>
              <w:t>50mg/m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、NO</w:t>
            </w:r>
            <w:r>
              <w:rPr>
                <w:rFonts w:hint="default" w:ascii="Times New Roman" w:hAnsi="Times New Roman" w:eastAsia="宋体" w:cs="Times New Roman"/>
                <w:color w:val="auto"/>
                <w:kern w:val="0"/>
                <w:sz w:val="24"/>
                <w:szCs w:val="20"/>
                <w:vertAlign w:val="subscript"/>
                <w:lang w:val="en-US" w:eastAsia="zh-CN" w:bidi="ar-SA"/>
              </w:rPr>
              <w:t>X</w:t>
            </w:r>
            <w:r>
              <w:rPr>
                <w:rFonts w:hint="default" w:ascii="Times New Roman" w:hAnsi="Times New Roman" w:eastAsia="宋体" w:cs="Times New Roman"/>
                <w:color w:val="auto"/>
                <w:kern w:val="0"/>
                <w:sz w:val="24"/>
                <w:szCs w:val="20"/>
                <w:lang w:val="en-US" w:eastAsia="zh-CN" w:bidi="ar-SA"/>
              </w:rPr>
              <w:t>200mg/m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），措施可行。</w:t>
            </w:r>
          </w:p>
          <w:p>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同时根据《排污许可证申请与核发技术规范  锅炉》（HJ953—2018），燃气锅炉废气处理可行性措施</w:t>
            </w:r>
            <w:r>
              <w:rPr>
                <w:rFonts w:hint="default" w:ascii="Times New Roman" w:hAnsi="Times New Roman" w:eastAsia="宋体" w:cs="Times New Roman"/>
                <w:color w:val="auto"/>
                <w:lang w:val="en-US" w:eastAsia="zh-CN"/>
              </w:rPr>
              <w:t>为</w:t>
            </w:r>
            <w:r>
              <w:rPr>
                <w:rFonts w:hint="default" w:ascii="Times New Roman" w:hAnsi="Times New Roman" w:eastAsia="宋体" w:cs="Times New Roman"/>
                <w:color w:val="auto"/>
              </w:rPr>
              <w:t>低氮燃烧技术、低氮燃烧技术+SCR脱硝技术，本项目锅炉配备低氮燃烧器，符合《排污许可证申请与核发技术规范  锅炉》（HJ953—2018）可行性技术要求。</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（2）无组织废气主要措施可行性</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1）发酵废气</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发酵过程中，会产生少量乙酸、乙醇等挥发性有机物，从而产生极少量异味气体。生产的发酵过程在密闭容器和封闭的车间内进行，发酵期间仅进行一次搅拌，且发酵结束后立刻进行清洗。因此产生乙酸、乙醇等气体的量较小，车间采用10万级空气净化系统，发酵废气经车间空气净化系统处理后排放，发酵异味对车间及周边环境影响不大。</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为了进一步减少车间异味还可采取如下措施：</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①强化管理，以管促治，预防为主，防治结合；</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②严格执行生产操作规程，工艺技术规范，安全技术规范；</w:t>
            </w:r>
          </w:p>
          <w:p>
            <w:pPr>
              <w:bidi w:val="0"/>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lang w:val="en-US" w:eastAsia="zh-CN"/>
              </w:rPr>
              <w:t>③积极推进清洁生产，采用先进的工艺技术和装备，减少发酵过程中的跑、冒、滴、漏，使无组织排放的异味最小化</w:t>
            </w:r>
            <w:r>
              <w:rPr>
                <w:rFonts w:hint="default" w:ascii="Times New Roman" w:hAnsi="Times New Roman" w:eastAsia="宋体" w:cs="Times New Roman"/>
                <w:color w:val="auto"/>
                <w:sz w:val="24"/>
              </w:rPr>
              <w:t>。</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2）污水处理设施恶臭气体</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建设单位采用地埋一体式污水处理设施，恶臭气体逸散量较小，此外采用生物除臭剂对污水处理设施周围进行喷洒，对恶臭物质进行分解，恶臭物质对环境空气的影响较小。</w:t>
            </w:r>
          </w:p>
          <w:p>
            <w:pPr>
              <w:pStyle w:val="34"/>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3）面粉投加粉尘</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面粉投加时通过缓慢投加，分次投加的方式减少粉尘的排放，产生的无组织粉尘经生产车间空气净化系统以无组织排出车间，对环境影响不大。</w:t>
            </w:r>
          </w:p>
          <w:p>
            <w:pPr>
              <w:bidi w:val="0"/>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lang w:val="en-US" w:eastAsia="zh-CN"/>
              </w:rPr>
              <w:t>1.5废气非正常工况分析</w:t>
            </w:r>
          </w:p>
          <w:p>
            <w:p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本项目非正常工况主要为锅炉启动、停炉等工况，以及故障等引起的污染防治设施不能同步投运或达不到应有治理效率等状况。锅炉烟气中氮氧化物出现超标排放，其排放浓度会大于</w:t>
            </w:r>
            <w:r>
              <w:rPr>
                <w:rFonts w:hint="default" w:ascii="Times New Roman" w:hAnsi="Times New Roman" w:eastAsia="宋体" w:cs="Times New Roman"/>
                <w:color w:val="auto"/>
                <w:lang w:val="en-US" w:eastAsia="zh-CN"/>
              </w:rPr>
              <w:t>30</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default" w:ascii="Times New Roman" w:hAnsi="Times New Roman" w:eastAsia="宋体" w:cs="Times New Roman"/>
                <w:color w:val="auto"/>
                <w:sz w:val="24"/>
                <w:szCs w:val="24"/>
              </w:rPr>
              <w:t>每年锅炉启动（0.5h）、停炉一次（0.5h）</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锅炉故障</w:t>
            </w:r>
            <w:r>
              <w:rPr>
                <w:rFonts w:hint="default" w:ascii="Times New Roman" w:hAnsi="Times New Roman" w:eastAsia="宋体" w:cs="Times New Roman"/>
                <w:color w:val="auto"/>
                <w:sz w:val="24"/>
                <w:szCs w:val="24"/>
              </w:rPr>
              <w:t>一次（0.5h），年故障发生频次为每年两次（2h），本次评价非正常工况持续时间以3h计。则本项目非正常工况锅炉废气排放情况见下表：</w:t>
            </w:r>
          </w:p>
          <w:p>
            <w:pPr>
              <w:bidi w:val="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表4-13  非正常工况污染产排情况一览表</w:t>
            </w:r>
          </w:p>
          <w:tbl>
            <w:tblPr>
              <w:tblStyle w:val="25"/>
              <w:tblW w:w="9295" w:type="dxa"/>
              <w:jc w:val="center"/>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032"/>
              <w:gridCol w:w="1033"/>
              <w:gridCol w:w="1033"/>
              <w:gridCol w:w="1033"/>
              <w:gridCol w:w="1033"/>
              <w:gridCol w:w="1033"/>
              <w:gridCol w:w="1033"/>
              <w:gridCol w:w="10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w:t>
                  </w:r>
                </w:p>
              </w:tc>
              <w:tc>
                <w:tcPr>
                  <w:tcW w:w="1032"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烟气量m</w:t>
                  </w:r>
                  <w:r>
                    <w:rPr>
                      <w:rFonts w:hint="default" w:ascii="Times New Roman" w:hAnsi="Times New Roman" w:eastAsia="宋体" w:cs="Times New Roman"/>
                      <w:color w:val="auto"/>
                      <w:sz w:val="21"/>
                      <w:szCs w:val="21"/>
                      <w:vertAlign w:val="superscript"/>
                      <w:lang w:val="en-US" w:eastAsia="zh-CN"/>
                    </w:rPr>
                    <w:t>3</w:t>
                  </w:r>
                </w:p>
              </w:tc>
              <w:tc>
                <w:tcPr>
                  <w:tcW w:w="1033"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产生量t</w:t>
                  </w:r>
                </w:p>
              </w:tc>
              <w:tc>
                <w:tcPr>
                  <w:tcW w:w="1033"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产生浓度mg/m</w:t>
                  </w:r>
                  <w:r>
                    <w:rPr>
                      <w:rFonts w:hint="default" w:ascii="Times New Roman" w:hAnsi="Times New Roman" w:eastAsia="宋体" w:cs="Times New Roman"/>
                      <w:color w:val="auto"/>
                      <w:sz w:val="21"/>
                      <w:szCs w:val="21"/>
                      <w:vertAlign w:val="superscript"/>
                      <w:lang w:val="en-US" w:eastAsia="zh-CN"/>
                    </w:rPr>
                    <w:t>3</w:t>
                  </w:r>
                </w:p>
              </w:tc>
              <w:tc>
                <w:tcPr>
                  <w:tcW w:w="1033"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排放形式</w:t>
                  </w:r>
                </w:p>
              </w:tc>
              <w:tc>
                <w:tcPr>
                  <w:tcW w:w="1033"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治理措施</w:t>
                  </w:r>
                </w:p>
              </w:tc>
              <w:tc>
                <w:tcPr>
                  <w:tcW w:w="1033"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排放量t</w:t>
                  </w:r>
                </w:p>
              </w:tc>
              <w:tc>
                <w:tcPr>
                  <w:tcW w:w="1033"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排放浓度mg/m</w:t>
                  </w:r>
                  <w:r>
                    <w:rPr>
                      <w:rFonts w:hint="default" w:ascii="Times New Roman" w:hAnsi="Times New Roman" w:eastAsia="宋体" w:cs="Times New Roman"/>
                      <w:color w:val="auto"/>
                      <w:sz w:val="21"/>
                      <w:szCs w:val="21"/>
                      <w:vertAlign w:val="superscript"/>
                      <w:lang w:val="en-US" w:eastAsia="zh-CN"/>
                    </w:rPr>
                    <w:t>3</w:t>
                  </w:r>
                </w:p>
              </w:tc>
              <w:tc>
                <w:tcPr>
                  <w:tcW w:w="1033"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032" w:type="dxa"/>
                  <w:vMerge w:val="restart"/>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9487.4</w:t>
                  </w:r>
                </w:p>
              </w:tc>
              <w:tc>
                <w:tcPr>
                  <w:tcW w:w="1033"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0.0002</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21.2</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有组织</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无</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0.0002</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21.2</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1032" w:type="dxa"/>
                  <w:vMerge w:val="continue"/>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p>
              </w:tc>
              <w:tc>
                <w:tcPr>
                  <w:tcW w:w="1033"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0.00014</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14.9</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有组织</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无</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0.00014</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14.9</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1032" w:type="dxa"/>
                  <w:vMerge w:val="continue"/>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p>
              </w:tc>
              <w:tc>
                <w:tcPr>
                  <w:tcW w:w="1033" w:type="dxa"/>
                  <w:tcBorders>
                    <w:tl2br w:val="nil"/>
                    <w:tr2bl w:val="nil"/>
                  </w:tcBorders>
                  <w:vAlign w:val="center"/>
                </w:tcPr>
                <w:p>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0.00029</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200</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有组织</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无</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0.00029</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200</w:t>
                  </w:r>
                </w:p>
              </w:tc>
              <w:tc>
                <w:tcPr>
                  <w:tcW w:w="103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200</w:t>
                  </w:r>
                </w:p>
              </w:tc>
            </w:tr>
          </w:tbl>
          <w:p>
            <w:pPr>
              <w:adjustRightInd w:val="0"/>
              <w:snapToGrid w:val="0"/>
              <w:spacing w:line="360" w:lineRule="auto"/>
              <w:ind w:firstLine="482" w:firstLineChars="200"/>
              <w:rPr>
                <w:rFonts w:hint="default" w:ascii="Times New Roman" w:hAnsi="Times New Roman" w:eastAsia="宋体" w:cs="Times New Roman"/>
                <w:b/>
                <w:color w:val="auto"/>
                <w:kern w:val="0"/>
                <w:sz w:val="24"/>
                <w:highlight w:val="none"/>
                <w:lang w:val="en-US" w:eastAsia="zh-CN"/>
              </w:rPr>
            </w:pPr>
            <w:r>
              <w:rPr>
                <w:rFonts w:hint="default" w:ascii="Times New Roman" w:hAnsi="Times New Roman" w:eastAsia="宋体" w:cs="Times New Roman"/>
                <w:b/>
                <w:color w:val="auto"/>
                <w:kern w:val="0"/>
                <w:sz w:val="24"/>
                <w:highlight w:val="none"/>
                <w:lang w:val="en-US" w:eastAsia="zh-CN"/>
              </w:rPr>
              <w:t>1.6废气监测计划</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根据《排污单位自行监测技术指南  总则》(HJ819-2017)</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kern w:val="0"/>
                <w:sz w:val="24"/>
                <w:highlight w:val="none"/>
              </w:rPr>
              <w:t>结合本项目实际情况，企业运营期废气监测计划见表</w:t>
            </w:r>
            <w:r>
              <w:rPr>
                <w:rFonts w:hint="default" w:ascii="Times New Roman" w:hAnsi="Times New Roman" w:eastAsia="宋体" w:cs="Times New Roman"/>
                <w:color w:val="auto"/>
                <w:kern w:val="0"/>
                <w:sz w:val="24"/>
                <w:highlight w:val="none"/>
                <w:lang w:val="en-US" w:eastAsia="zh-CN"/>
              </w:rPr>
              <w:t>4-14</w:t>
            </w:r>
            <w:r>
              <w:rPr>
                <w:rFonts w:hint="default" w:ascii="Times New Roman" w:hAnsi="Times New Roman" w:eastAsia="宋体" w:cs="Times New Roman"/>
                <w:color w:val="auto"/>
                <w:kern w:val="0"/>
                <w:sz w:val="24"/>
                <w:highlight w:val="none"/>
              </w:rPr>
              <w:t>。</w:t>
            </w:r>
          </w:p>
          <w:p>
            <w:pPr>
              <w:widowControl w:val="0"/>
              <w:autoSpaceDE w:val="0"/>
              <w:autoSpaceDN w:val="0"/>
              <w:adjustRightInd w:val="0"/>
              <w:spacing w:line="360" w:lineRule="auto"/>
              <w:jc w:val="center"/>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表4-14   运营期废气监测计划表</w:t>
            </w:r>
          </w:p>
          <w:tbl>
            <w:tblPr>
              <w:tblStyle w:val="24"/>
              <w:tblW w:w="9295" w:type="dxa"/>
              <w:jc w:val="center"/>
              <w:tblInd w:w="0" w:type="dxa"/>
              <w:tblBorders>
                <w:top w:val="doub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5"/>
              <w:gridCol w:w="1031"/>
              <w:gridCol w:w="1254"/>
              <w:gridCol w:w="2340"/>
              <w:gridCol w:w="1496"/>
              <w:gridCol w:w="2249"/>
            </w:tblGrid>
            <w:tr>
              <w:tblPrEx>
                <w:tblBorders>
                  <w:top w:val="doub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925"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内容</w:t>
                  </w:r>
                </w:p>
              </w:tc>
              <w:tc>
                <w:tcPr>
                  <w:tcW w:w="2285" w:type="dxa"/>
                  <w:gridSpan w:val="2"/>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监测点位</w:t>
                  </w:r>
                </w:p>
              </w:tc>
              <w:tc>
                <w:tcPr>
                  <w:tcW w:w="2340"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监测因子</w:t>
                  </w:r>
                </w:p>
              </w:tc>
              <w:tc>
                <w:tcPr>
                  <w:tcW w:w="1496"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监测频率</w:t>
                  </w:r>
                </w:p>
              </w:tc>
              <w:tc>
                <w:tcPr>
                  <w:tcW w:w="2249"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执行标准</w:t>
                  </w:r>
                </w:p>
              </w:tc>
            </w:tr>
            <w:tr>
              <w:tblPrEx>
                <w:tblBorders>
                  <w:top w:val="doub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9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废气</w:t>
                  </w:r>
                </w:p>
              </w:tc>
              <w:tc>
                <w:tcPr>
                  <w:tcW w:w="103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有组织</w:t>
                  </w:r>
                </w:p>
              </w:tc>
              <w:tc>
                <w:tcPr>
                  <w:tcW w:w="125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锅炉烟囱</w:t>
                  </w:r>
                </w:p>
              </w:tc>
              <w:tc>
                <w:tcPr>
                  <w:tcW w:w="23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颗粒物</w:t>
                  </w:r>
                </w:p>
              </w:tc>
              <w:tc>
                <w:tcPr>
                  <w:tcW w:w="1496" w:type="dxa"/>
                  <w:vMerge w:val="restart"/>
                  <w:tcBorders>
                    <w:tl2br w:val="nil"/>
                    <w:tr2bl w:val="nil"/>
                  </w:tcBorders>
                  <w:noWrap w:val="0"/>
                  <w:vAlign w:val="center"/>
                </w:tcPr>
                <w:p>
                  <w:pPr>
                    <w:widowControl w:val="0"/>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每年一次</w:t>
                  </w:r>
                </w:p>
              </w:tc>
              <w:tc>
                <w:tcPr>
                  <w:tcW w:w="224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锅炉大气污染物排放标准》（GB13271-2014）中燃气锅炉</w:t>
                  </w:r>
                </w:p>
              </w:tc>
            </w:tr>
            <w:tr>
              <w:tblPrEx>
                <w:tblBorders>
                  <w:top w:val="doub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9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0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12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23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1496" w:type="dxa"/>
                  <w:vMerge w:val="continue"/>
                  <w:tcBorders>
                    <w:tl2br w:val="nil"/>
                    <w:tr2bl w:val="nil"/>
                  </w:tcBorders>
                  <w:noWrap w:val="0"/>
                  <w:vAlign w:val="center"/>
                </w:tcPr>
                <w:p>
                  <w:pPr>
                    <w:widowControl w:val="0"/>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p>
              </w:tc>
              <w:tc>
                <w:tcPr>
                  <w:tcW w:w="22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r>
            <w:tr>
              <w:tblPrEx>
                <w:tblBorders>
                  <w:top w:val="doub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9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0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12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23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林格曼黑度</w:t>
                  </w:r>
                </w:p>
              </w:tc>
              <w:tc>
                <w:tcPr>
                  <w:tcW w:w="1496" w:type="dxa"/>
                  <w:vMerge w:val="continue"/>
                  <w:tcBorders>
                    <w:tl2br w:val="nil"/>
                    <w:tr2bl w:val="nil"/>
                  </w:tcBorders>
                  <w:noWrap w:val="0"/>
                  <w:vAlign w:val="center"/>
                </w:tcPr>
                <w:p>
                  <w:pPr>
                    <w:widowControl w:val="0"/>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p>
              </w:tc>
              <w:tc>
                <w:tcPr>
                  <w:tcW w:w="22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r>
            <w:tr>
              <w:tblPrEx>
                <w:tblBorders>
                  <w:top w:val="doub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9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0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12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23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1496" w:type="dxa"/>
                  <w:tcBorders>
                    <w:tl2br w:val="nil"/>
                    <w:tr2bl w:val="nil"/>
                  </w:tcBorders>
                  <w:noWrap w:val="0"/>
                  <w:vAlign w:val="center"/>
                </w:tcPr>
                <w:p>
                  <w:pPr>
                    <w:widowControl w:val="0"/>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每月1次</w:t>
                  </w:r>
                </w:p>
              </w:tc>
              <w:tc>
                <w:tcPr>
                  <w:tcW w:w="22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r>
            <w:tr>
              <w:tblPrEx>
                <w:tblBorders>
                  <w:top w:val="doub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78" w:hRule="atLeast"/>
                <w:jc w:val="center"/>
              </w:trPr>
              <w:tc>
                <w:tcPr>
                  <w:tcW w:w="9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0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无组织</w:t>
                  </w:r>
                </w:p>
              </w:tc>
              <w:tc>
                <w:tcPr>
                  <w:tcW w:w="12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厂界</w:t>
                  </w:r>
                </w:p>
              </w:tc>
              <w:tc>
                <w:tcPr>
                  <w:tcW w:w="2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S</w:t>
                  </w:r>
                </w:p>
              </w:tc>
              <w:tc>
                <w:tcPr>
                  <w:tcW w:w="14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1次/半年</w:t>
                  </w:r>
                </w:p>
              </w:tc>
              <w:tc>
                <w:tcPr>
                  <w:tcW w:w="2249" w:type="dxa"/>
                  <w:tcBorders>
                    <w:tl2br w:val="nil"/>
                    <w:tr2bl w:val="nil"/>
                  </w:tcBorders>
                  <w:noWrap w:val="0"/>
                  <w:vAlign w:val="center"/>
                </w:tcPr>
                <w:p>
                  <w:pPr>
                    <w:widowControl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恶臭污染物排放标准》（GB14554-1993）</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表1中厂界标准值</w:t>
                  </w:r>
                </w:p>
              </w:tc>
            </w:tr>
            <w:tr>
              <w:tblPrEx>
                <w:tblBorders>
                  <w:top w:val="doub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78" w:hRule="atLeast"/>
                <w:jc w:val="center"/>
              </w:trPr>
              <w:tc>
                <w:tcPr>
                  <w:tcW w:w="9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0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无组织</w:t>
                  </w:r>
                </w:p>
              </w:tc>
              <w:tc>
                <w:tcPr>
                  <w:tcW w:w="12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厂界</w:t>
                  </w:r>
                </w:p>
              </w:tc>
              <w:tc>
                <w:tcPr>
                  <w:tcW w:w="2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4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1次/年</w:t>
                  </w:r>
                </w:p>
              </w:tc>
              <w:tc>
                <w:tcPr>
                  <w:tcW w:w="22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《大气污染物综合排放标准》（GB16297-1996）表2中标准限值</w:t>
                  </w:r>
                </w:p>
              </w:tc>
            </w:tr>
          </w:tbl>
          <w:p>
            <w:pPr>
              <w:bidi w:val="0"/>
              <w:rPr>
                <w:rFonts w:hint="default" w:ascii="Times New Roman" w:hAnsi="Times New Roman" w:eastAsia="宋体" w:cs="Times New Roman"/>
                <w:color w:val="auto"/>
                <w:kern w:val="0"/>
                <w:sz w:val="24"/>
                <w:szCs w:val="24"/>
                <w:lang w:val="en-US" w:eastAsia="zh-CN" w:bidi="ar"/>
              </w:rPr>
            </w:pPr>
          </w:p>
          <w:p>
            <w:pPr>
              <w:bidi w:val="0"/>
              <w:rPr>
                <w:rFonts w:hint="default" w:ascii="Times New Roman" w:hAnsi="Times New Roman" w:eastAsia="宋体" w:cs="Times New Roman"/>
                <w:color w:val="auto"/>
                <w:kern w:val="0"/>
                <w:sz w:val="24"/>
                <w:szCs w:val="24"/>
                <w:lang w:val="en-US" w:eastAsia="zh-CN" w:bidi="ar"/>
              </w:rPr>
            </w:pPr>
          </w:p>
          <w:p>
            <w:pPr>
              <w:bidi w:val="0"/>
              <w:rPr>
                <w:rFonts w:hint="default" w:ascii="Times New Roman" w:hAnsi="Times New Roman" w:eastAsia="宋体" w:cs="Times New Roman"/>
                <w:color w:val="auto"/>
                <w:kern w:val="0"/>
                <w:sz w:val="24"/>
                <w:szCs w:val="24"/>
                <w:lang w:val="en-US" w:eastAsia="zh-CN" w:bidi="ar"/>
              </w:rPr>
            </w:pPr>
          </w:p>
          <w:p>
            <w:pPr>
              <w:bidi w:val="0"/>
              <w:rPr>
                <w:rFonts w:hint="default" w:ascii="Times New Roman" w:hAnsi="Times New Roman" w:eastAsia="宋体" w:cs="Times New Roman"/>
                <w:color w:val="auto"/>
                <w:kern w:val="0"/>
                <w:sz w:val="24"/>
                <w:szCs w:val="24"/>
                <w:lang w:val="en-US" w:eastAsia="zh-CN" w:bidi="ar"/>
              </w:rPr>
            </w:pPr>
          </w:p>
          <w:p>
            <w:pPr>
              <w:bidi w:val="0"/>
              <w:rPr>
                <w:rFonts w:hint="default" w:ascii="Times New Roman" w:hAnsi="Times New Roman" w:eastAsia="宋体" w:cs="Times New Roman"/>
                <w:color w:val="auto"/>
                <w:kern w:val="0"/>
                <w:sz w:val="24"/>
                <w:szCs w:val="24"/>
                <w:lang w:val="en-US" w:eastAsia="zh-CN" w:bidi="ar"/>
              </w:rPr>
            </w:pPr>
          </w:p>
          <w:p>
            <w:pPr>
              <w:pStyle w:val="2"/>
              <w:rPr>
                <w:rFonts w:hint="default" w:ascii="Times New Roman" w:hAnsi="Times New Roman" w:eastAsia="宋体" w:cs="Times New Roman"/>
                <w:color w:val="auto"/>
                <w:kern w:val="0"/>
                <w:sz w:val="24"/>
                <w:szCs w:val="24"/>
                <w:lang w:val="en-US" w:eastAsia="zh-CN" w:bidi="ar"/>
              </w:rPr>
            </w:pPr>
          </w:p>
          <w:p>
            <w:pPr>
              <w:pStyle w:val="3"/>
              <w:rPr>
                <w:rFonts w:hint="default"/>
                <w:lang w:val="en-US" w:eastAsia="zh-CN"/>
              </w:rPr>
            </w:pPr>
          </w:p>
          <w:p>
            <w:pPr>
              <w:bidi w:val="0"/>
              <w:rPr>
                <w:rFonts w:hint="default" w:ascii="Times New Roman" w:hAnsi="Times New Roman" w:eastAsia="宋体" w:cs="Times New Roman"/>
                <w:color w:val="auto"/>
                <w:kern w:val="0"/>
                <w:sz w:val="24"/>
                <w:szCs w:val="24"/>
                <w:lang w:val="en-US" w:eastAsia="zh-CN" w:bidi="ar"/>
              </w:rPr>
            </w:pPr>
          </w:p>
          <w:p>
            <w:pPr>
              <w:bidi w:val="0"/>
              <w:rPr>
                <w:rFonts w:hint="default" w:ascii="Times New Roman" w:hAnsi="Times New Roman" w:eastAsia="宋体" w:cs="Times New Roman"/>
                <w:color w:val="auto"/>
                <w:kern w:val="0"/>
                <w:sz w:val="24"/>
                <w:szCs w:val="24"/>
                <w:lang w:val="en-US" w:eastAsia="zh-CN" w:bidi="ar"/>
              </w:rPr>
            </w:pPr>
          </w:p>
        </w:tc>
      </w:tr>
    </w:tbl>
    <w:p>
      <w:pPr>
        <w:pStyle w:val="34"/>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3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5" w:type="dxa"/>
            <w:vAlign w:val="center"/>
          </w:tcPr>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pPr>
              <w:bidi w:val="0"/>
              <w:rPr>
                <w:color w:val="auto"/>
                <w:vertAlign w:val="baseline"/>
              </w:rPr>
            </w:pPr>
            <w:r>
              <w:rPr>
                <w:rFonts w:hint="default" w:ascii="Times New Roman" w:hAnsi="Times New Roman" w:eastAsia="宋体" w:cs="Times New Roman"/>
                <w:bCs/>
                <w:color w:val="auto"/>
                <w:sz w:val="24"/>
                <w:szCs w:val="24"/>
              </w:rPr>
              <w:t>措施</w:t>
            </w:r>
          </w:p>
        </w:tc>
        <w:tc>
          <w:tcPr>
            <w:tcW w:w="13569" w:type="dxa"/>
            <w:vAlign w:val="center"/>
          </w:tcPr>
          <w:p>
            <w:pPr>
              <w:adjustRightInd w:val="0"/>
              <w:snapToGrid w:val="0"/>
              <w:spacing w:before="120" w:beforeLines="50"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三、噪声污染源</w:t>
            </w:r>
          </w:p>
          <w:p>
            <w:pPr>
              <w:adjustRightInd w:val="0"/>
              <w:snapToGrid w:val="0"/>
              <w:spacing w:line="360" w:lineRule="auto"/>
              <w:ind w:firstLine="482"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1、噪声源及源强</w:t>
            </w:r>
          </w:p>
          <w:p>
            <w:pPr>
              <w:bidi w:val="0"/>
              <w:ind w:firstLine="480" w:firstLineChars="200"/>
              <w:rPr>
                <w:rFonts w:hint="eastAsia"/>
                <w:color w:val="auto"/>
                <w:lang w:eastAsia="zh-CN"/>
              </w:rPr>
            </w:pPr>
            <w:r>
              <w:rPr>
                <w:rFonts w:hint="default"/>
                <w:color w:val="auto"/>
              </w:rPr>
              <w:t>项目营运期噪声主要为项目运营期噪声来自</w:t>
            </w:r>
            <w:r>
              <w:rPr>
                <w:rFonts w:hint="eastAsia"/>
                <w:color w:val="auto"/>
                <w:lang w:val="en-US" w:eastAsia="zh-CN"/>
              </w:rPr>
              <w:t>净菜线、搅拌机、水泵以及锅炉、污水处理设备等产生的噪声</w:t>
            </w:r>
            <w:r>
              <w:rPr>
                <w:rFonts w:hint="default"/>
                <w:color w:val="auto"/>
              </w:rPr>
              <w:t>，</w:t>
            </w:r>
            <w:r>
              <w:rPr>
                <w:rFonts w:hint="default" w:ascii="Times New Roman" w:hAnsi="Times New Roman" w:eastAsia="宋体" w:cs="Times New Roman"/>
                <w:color w:val="auto"/>
                <w:kern w:val="0"/>
                <w:sz w:val="24"/>
                <w:szCs w:val="24"/>
                <w:lang w:val="en-US" w:eastAsia="zh-CN" w:bidi="ar"/>
              </w:rPr>
              <w:t>根据《污染源源强核算技术指南 锅炉》(HJ991-2018)，噪声源强根据该指南附录D，确定</w:t>
            </w:r>
            <w:r>
              <w:rPr>
                <w:rFonts w:hint="eastAsia" w:ascii="Times New Roman" w:hAnsi="Times New Roman" w:eastAsia="宋体" w:cs="Times New Roman"/>
                <w:color w:val="auto"/>
                <w:kern w:val="0"/>
                <w:sz w:val="24"/>
                <w:szCs w:val="24"/>
                <w:lang w:val="en-US" w:eastAsia="zh-CN" w:bidi="ar"/>
              </w:rPr>
              <w:t>锅炉、水泵等</w:t>
            </w:r>
            <w:r>
              <w:rPr>
                <w:rFonts w:hint="default" w:ascii="Times New Roman" w:hAnsi="Times New Roman" w:eastAsia="宋体" w:cs="Times New Roman"/>
                <w:color w:val="auto"/>
                <w:kern w:val="0"/>
                <w:sz w:val="24"/>
                <w:szCs w:val="24"/>
                <w:lang w:val="en-US" w:eastAsia="zh-CN" w:bidi="ar"/>
              </w:rPr>
              <w:t>设备噪声</w:t>
            </w:r>
            <w:r>
              <w:rPr>
                <w:rFonts w:hint="eastAsia" w:ascii="Times New Roman" w:hAnsi="Times New Roman" w:eastAsia="宋体" w:cs="Times New Roman"/>
                <w:color w:val="auto"/>
                <w:kern w:val="0"/>
                <w:sz w:val="24"/>
                <w:szCs w:val="24"/>
                <w:lang w:val="en-US" w:eastAsia="zh-CN" w:bidi="ar"/>
              </w:rPr>
              <w:t>，</w:t>
            </w:r>
            <w:r>
              <w:rPr>
                <w:rFonts w:hint="eastAsia"/>
                <w:color w:val="auto"/>
                <w:lang w:val="en-US" w:eastAsia="zh-CN"/>
              </w:rPr>
              <w:t>室内</w:t>
            </w:r>
            <w:r>
              <w:rPr>
                <w:rFonts w:hint="default"/>
                <w:color w:val="auto"/>
              </w:rPr>
              <w:t>噪声源强见下表</w:t>
            </w:r>
            <w:r>
              <w:rPr>
                <w:rFonts w:hint="eastAsia"/>
                <w:color w:val="auto"/>
                <w:lang w:val="en-US" w:eastAsia="zh-CN"/>
              </w:rPr>
              <w:t>4-15，室外噪声源强见表4-16</w:t>
            </w:r>
            <w:r>
              <w:rPr>
                <w:rFonts w:hint="eastAsia"/>
                <w:color w:val="auto"/>
                <w:lang w:eastAsia="zh-CN"/>
              </w:rPr>
              <w:t>。</w:t>
            </w:r>
          </w:p>
          <w:p>
            <w:pPr>
              <w:widowControl/>
              <w:snapToGrid w:val="0"/>
              <w:spacing w:before="60" w:after="120" w:afterLines="0" w:line="240" w:lineRule="auto"/>
              <w:ind w:left="0" w:leftChars="0" w:right="113" w:firstLine="0" w:firstLineChars="0"/>
              <w:jc w:val="center"/>
              <w:rPr>
                <w:rFonts w:hint="default" w:ascii="Times New Roman" w:hAnsi="Times New Roman" w:eastAsia="宋体" w:cs="Times New Roman"/>
                <w:b/>
                <w:bCs/>
                <w:color w:val="auto"/>
                <w:kern w:val="0"/>
                <w:sz w:val="24"/>
                <w:szCs w:val="22"/>
                <w:highlight w:val="none"/>
                <w:lang w:val="en-US" w:eastAsia="zh-CN" w:bidi="ar-SA"/>
              </w:rPr>
            </w:pPr>
            <w:r>
              <w:rPr>
                <w:rFonts w:hint="eastAsia" w:ascii="Times New Roman" w:hAnsi="Times New Roman" w:eastAsia="宋体" w:cs="Times New Roman"/>
                <w:b/>
                <w:bCs/>
                <w:color w:val="auto"/>
                <w:kern w:val="0"/>
                <w:sz w:val="24"/>
                <w:szCs w:val="22"/>
                <w:highlight w:val="none"/>
                <w:lang w:val="en-US" w:eastAsia="zh-CN" w:bidi="ar-SA"/>
              </w:rPr>
              <w:t>表4-</w:t>
            </w:r>
            <w:r>
              <w:rPr>
                <w:rFonts w:hint="eastAsia" w:cs="Times New Roman"/>
                <w:b/>
                <w:bCs/>
                <w:color w:val="auto"/>
                <w:kern w:val="0"/>
                <w:sz w:val="24"/>
                <w:szCs w:val="22"/>
                <w:highlight w:val="none"/>
                <w:lang w:val="en-US" w:eastAsia="zh-CN" w:bidi="ar-SA"/>
              </w:rPr>
              <w:t>15</w:t>
            </w:r>
            <w:r>
              <w:rPr>
                <w:rFonts w:hint="eastAsia" w:ascii="Times New Roman" w:hAnsi="Times New Roman" w:eastAsia="宋体" w:cs="Times New Roman"/>
                <w:b/>
                <w:bCs/>
                <w:color w:val="auto"/>
                <w:kern w:val="0"/>
                <w:sz w:val="24"/>
                <w:szCs w:val="22"/>
                <w:highlight w:val="none"/>
                <w:lang w:val="en-US" w:eastAsia="zh-CN" w:bidi="ar-SA"/>
              </w:rPr>
              <w:t xml:space="preserve">  </w:t>
            </w:r>
            <w:r>
              <w:rPr>
                <w:rFonts w:hint="default" w:ascii="Times New Roman" w:hAnsi="Times New Roman" w:eastAsia="宋体" w:cs="Times New Roman"/>
                <w:b/>
                <w:bCs/>
                <w:color w:val="auto"/>
                <w:kern w:val="0"/>
                <w:sz w:val="24"/>
                <w:szCs w:val="22"/>
                <w:highlight w:val="none"/>
                <w:lang w:val="en-US" w:eastAsia="zh-CN" w:bidi="ar-SA"/>
              </w:rPr>
              <w:t>工业企业噪声源强调查清单(室内声源)</w:t>
            </w:r>
          </w:p>
          <w:tbl>
            <w:tblPr>
              <w:tblStyle w:val="25"/>
              <w:tblW w:w="13353"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62"/>
              <w:gridCol w:w="600"/>
              <w:gridCol w:w="585"/>
              <w:gridCol w:w="1800"/>
              <w:gridCol w:w="755"/>
              <w:gridCol w:w="808"/>
              <w:gridCol w:w="686"/>
              <w:gridCol w:w="778"/>
              <w:gridCol w:w="720"/>
              <w:gridCol w:w="1130"/>
              <w:gridCol w:w="1189"/>
              <w:gridCol w:w="1019"/>
              <w:gridCol w:w="926"/>
              <w:gridCol w:w="9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序号</w:t>
                  </w:r>
                </w:p>
              </w:tc>
              <w:tc>
                <w:tcPr>
                  <w:tcW w:w="86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声源名称</w:t>
                  </w:r>
                </w:p>
              </w:tc>
              <w:tc>
                <w:tcPr>
                  <w:tcW w:w="1185" w:type="dxa"/>
                  <w:gridSpan w:val="2"/>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声</w:t>
                  </w:r>
                  <w:r>
                    <w:rPr>
                      <w:rFonts w:hint="default" w:ascii="Times New Roman" w:hAnsi="Times New Roman" w:cs="Times New Roman"/>
                      <w:color w:val="auto"/>
                      <w:kern w:val="2"/>
                      <w:sz w:val="21"/>
                      <w:szCs w:val="21"/>
                      <w:highlight w:val="none"/>
                      <w:vertAlign w:val="baseline"/>
                      <w:lang w:val="en-US" w:eastAsia="zh-CN" w:bidi="ar-SA"/>
                    </w:rPr>
                    <w:t>压</w:t>
                  </w:r>
                  <w:r>
                    <w:rPr>
                      <w:rFonts w:hint="default" w:ascii="Times New Roman" w:hAnsi="Times New Roman" w:eastAsia="宋体" w:cs="Times New Roman"/>
                      <w:color w:val="auto"/>
                      <w:kern w:val="2"/>
                      <w:sz w:val="21"/>
                      <w:szCs w:val="21"/>
                      <w:highlight w:val="none"/>
                      <w:vertAlign w:val="baseline"/>
                      <w:lang w:val="en-US" w:eastAsia="zh-CN" w:bidi="ar-SA"/>
                    </w:rPr>
                    <w:t>级dB（A）/</w:t>
                  </w:r>
                  <w:r>
                    <w:rPr>
                      <w:rFonts w:hint="default" w:ascii="Times New Roman" w:hAnsi="Times New Roman" w:cs="Times New Roman"/>
                      <w:color w:val="auto"/>
                      <w:kern w:val="2"/>
                      <w:sz w:val="21"/>
                      <w:szCs w:val="21"/>
                      <w:highlight w:val="none"/>
                      <w:vertAlign w:val="baseline"/>
                      <w:lang w:val="en-US" w:eastAsia="zh-CN" w:bidi="ar-SA"/>
                    </w:rPr>
                    <w:t>m</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声源控制措施</w:t>
                  </w:r>
                </w:p>
              </w:tc>
              <w:tc>
                <w:tcPr>
                  <w:tcW w:w="2249"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空间相对位置/m</w:t>
                  </w:r>
                </w:p>
              </w:tc>
              <w:tc>
                <w:tcPr>
                  <w:tcW w:w="1498"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距室内边界距离</w:t>
                  </w:r>
                  <w:r>
                    <w:rPr>
                      <w:rFonts w:hint="default" w:ascii="Times New Roman" w:hAnsi="Times New Roman" w:eastAsia="宋体" w:cs="Times New Roman"/>
                      <w:color w:val="auto"/>
                      <w:sz w:val="21"/>
                      <w:szCs w:val="21"/>
                      <w:highlight w:val="none"/>
                      <w:vertAlign w:val="baseline"/>
                      <w:lang w:val="en-US" w:eastAsia="zh-CN"/>
                    </w:rPr>
                    <w:t>/m</w:t>
                  </w:r>
                </w:p>
              </w:tc>
              <w:tc>
                <w:tcPr>
                  <w:tcW w:w="113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室内边界声级</w:t>
                  </w:r>
                  <w:r>
                    <w:rPr>
                      <w:rFonts w:hint="default" w:ascii="Times New Roman" w:hAnsi="Times New Roman" w:eastAsia="宋体" w:cs="Times New Roman"/>
                      <w:color w:val="auto"/>
                      <w:sz w:val="21"/>
                      <w:szCs w:val="21"/>
                      <w:highlight w:val="none"/>
                      <w:vertAlign w:val="baseline"/>
                      <w:lang w:val="en-US" w:eastAsia="zh-CN"/>
                    </w:rPr>
                    <w:t>/dB（A）</w:t>
                  </w:r>
                </w:p>
              </w:tc>
              <w:tc>
                <w:tcPr>
                  <w:tcW w:w="11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运行时段</w:t>
                  </w:r>
                </w:p>
              </w:tc>
              <w:tc>
                <w:tcPr>
                  <w:tcW w:w="10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建筑插入损失</w:t>
                  </w:r>
                  <w:r>
                    <w:rPr>
                      <w:rFonts w:hint="default" w:ascii="Times New Roman" w:hAnsi="Times New Roman" w:eastAsia="宋体" w:cs="Times New Roman"/>
                      <w:color w:val="auto"/>
                      <w:sz w:val="21"/>
                      <w:szCs w:val="21"/>
                      <w:highlight w:val="none"/>
                      <w:vertAlign w:val="baseline"/>
                      <w:lang w:val="en-US" w:eastAsia="zh-CN"/>
                    </w:rPr>
                    <w:t>/dB（A）</w:t>
                  </w:r>
                </w:p>
              </w:tc>
              <w:tc>
                <w:tcPr>
                  <w:tcW w:w="1844"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建筑物外噪声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185"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X</w:t>
                  </w:r>
                </w:p>
              </w:tc>
              <w:tc>
                <w:tcPr>
                  <w:tcW w:w="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Y</w:t>
                  </w:r>
                </w:p>
              </w:tc>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Z</w:t>
                  </w:r>
                </w:p>
              </w:tc>
              <w:tc>
                <w:tcPr>
                  <w:tcW w:w="1498"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13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声级</w:t>
                  </w:r>
                  <w:r>
                    <w:rPr>
                      <w:rFonts w:hint="default" w:ascii="Times New Roman" w:hAnsi="Times New Roman" w:eastAsia="宋体" w:cs="Times New Roman"/>
                      <w:color w:val="auto"/>
                      <w:sz w:val="21"/>
                      <w:szCs w:val="21"/>
                      <w:highlight w:val="none"/>
                      <w:vertAlign w:val="baseline"/>
                      <w:lang w:val="en-US" w:eastAsia="zh-CN"/>
                    </w:rPr>
                    <w:t>/dB（A）</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建筑物外距离</w:t>
                  </w:r>
                  <w:r>
                    <w:rPr>
                      <w:rFonts w:hint="default" w:ascii="Times New Roman" w:hAnsi="Times New Roman" w:eastAsia="宋体" w:cs="Times New Roman"/>
                      <w:color w:val="auto"/>
                      <w:sz w:val="21"/>
                      <w:szCs w:val="21"/>
                      <w:highlight w:val="none"/>
                      <w:vertAlign w:val="baseline"/>
                      <w:lang w:val="en-US" w:eastAsia="zh-CN"/>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1</w:t>
                  </w:r>
                </w:p>
              </w:tc>
              <w:tc>
                <w:tcPr>
                  <w:tcW w:w="86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SA"/>
                    </w:rPr>
                    <w:t>净菜线</w:t>
                  </w:r>
                </w:p>
              </w:tc>
              <w:tc>
                <w:tcPr>
                  <w:tcW w:w="60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75</w:t>
                  </w:r>
                </w:p>
              </w:tc>
              <w:tc>
                <w:tcPr>
                  <w:tcW w:w="58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1</w:t>
                  </w:r>
                </w:p>
              </w:tc>
              <w:tc>
                <w:tcPr>
                  <w:tcW w:w="180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rPr>
                    <w:t>73.2</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rPr>
                    <w:t>99.1</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10.4</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61.5</w:t>
                  </w:r>
                </w:p>
              </w:tc>
              <w:tc>
                <w:tcPr>
                  <w:tcW w:w="11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35.5</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08"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68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21.0</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61.4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08"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8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68.6</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61.4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08"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8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15.0</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61.4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2</w:t>
                  </w:r>
                </w:p>
              </w:tc>
              <w:tc>
                <w:tcPr>
                  <w:tcW w:w="862"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水泵1</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75</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80.56</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73.34</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37.2</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61.4</w:t>
                  </w:r>
                </w:p>
              </w:tc>
              <w:tc>
                <w:tcPr>
                  <w:tcW w:w="11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21.7</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61.4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41.8</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61.4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14.2</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61.4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3</w:t>
                  </w:r>
                </w:p>
              </w:tc>
              <w:tc>
                <w:tcPr>
                  <w:tcW w:w="862"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水泵2</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75</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85</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61.15</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50.2</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61.4</w:t>
                  </w:r>
                </w:p>
              </w:tc>
              <w:tc>
                <w:tcPr>
                  <w:tcW w:w="11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21.2</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61.4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28.8</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61.4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14.8</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61.4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4</w:t>
                  </w:r>
                </w:p>
              </w:tc>
              <w:tc>
                <w:tcPr>
                  <w:tcW w:w="86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自动包装机</w:t>
                  </w:r>
                  <w:r>
                    <w:rPr>
                      <w:rFonts w:hint="default" w:ascii="Times New Roman" w:hAnsi="Times New Roman" w:cs="Times New Roman"/>
                      <w:i w:val="0"/>
                      <w:color w:val="auto"/>
                      <w:kern w:val="0"/>
                      <w:sz w:val="21"/>
                      <w:szCs w:val="21"/>
                      <w:u w:val="none"/>
                      <w:lang w:val="en-US" w:eastAsia="zh-CN" w:bidi="ar"/>
                    </w:rPr>
                    <w:t>1</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68.82</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79.54</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28.0</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31.1</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51.3</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4.9</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5</w:t>
                  </w:r>
                </w:p>
              </w:tc>
              <w:tc>
                <w:tcPr>
                  <w:tcW w:w="86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自动包装机</w:t>
                  </w:r>
                  <w:r>
                    <w:rPr>
                      <w:rFonts w:hint="default" w:ascii="Times New Roman" w:hAnsi="Times New Roman" w:cs="Times New Roman"/>
                      <w:i w:val="0"/>
                      <w:color w:val="auto"/>
                      <w:kern w:val="0"/>
                      <w:sz w:val="21"/>
                      <w:szCs w:val="21"/>
                      <w:u w:val="none"/>
                      <w:lang w:val="en-US" w:eastAsia="zh-CN" w:bidi="ar"/>
                    </w:rPr>
                    <w:t>2</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70.59</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74.89</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32.9</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30.8</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46.3</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5.2</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6</w:t>
                  </w:r>
                </w:p>
              </w:tc>
              <w:tc>
                <w:tcPr>
                  <w:tcW w:w="86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自动包装机</w:t>
                  </w:r>
                  <w:r>
                    <w:rPr>
                      <w:rFonts w:hint="default" w:ascii="Times New Roman" w:hAnsi="Times New Roman" w:cs="Times New Roman"/>
                      <w:i w:val="0"/>
                      <w:color w:val="auto"/>
                      <w:kern w:val="0"/>
                      <w:sz w:val="21"/>
                      <w:szCs w:val="21"/>
                      <w:u w:val="none"/>
                      <w:lang w:val="en-US" w:eastAsia="zh-CN" w:bidi="ar"/>
                    </w:rPr>
                    <w:t>3</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72.14</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70.23</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37.8</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30.7</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41.4</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5.2</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7</w:t>
                  </w:r>
                </w:p>
              </w:tc>
              <w:tc>
                <w:tcPr>
                  <w:tcW w:w="86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自动包装机</w:t>
                  </w:r>
                  <w:r>
                    <w:rPr>
                      <w:rFonts w:hint="default" w:ascii="Times New Roman" w:hAnsi="Times New Roman" w:cs="Times New Roman"/>
                      <w:i w:val="0"/>
                      <w:color w:val="auto"/>
                      <w:kern w:val="0"/>
                      <w:sz w:val="21"/>
                      <w:szCs w:val="21"/>
                      <w:u w:val="none"/>
                      <w:lang w:val="en-US" w:eastAsia="zh-CN" w:bidi="ar"/>
                    </w:rPr>
                    <w:t>4</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73.25</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66.02</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42.2</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30.9</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37.1</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8</w:t>
                  </w:r>
                </w:p>
              </w:tc>
              <w:tc>
                <w:tcPr>
                  <w:tcW w:w="86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自动包装机</w:t>
                  </w:r>
                  <w:r>
                    <w:rPr>
                      <w:rFonts w:hint="default" w:ascii="Times New Roman" w:hAnsi="Times New Roman" w:cs="Times New Roman"/>
                      <w:i w:val="0"/>
                      <w:color w:val="auto"/>
                      <w:kern w:val="0"/>
                      <w:sz w:val="21"/>
                      <w:szCs w:val="21"/>
                      <w:u w:val="none"/>
                      <w:lang w:val="en-US" w:eastAsia="zh-CN" w:bidi="ar"/>
                    </w:rPr>
                    <w:t>5</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74.8</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61.15</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47.3</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30.9</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32.0</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9</w:t>
                  </w:r>
                </w:p>
              </w:tc>
              <w:tc>
                <w:tcPr>
                  <w:tcW w:w="86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自动包装机</w:t>
                  </w:r>
                  <w:r>
                    <w:rPr>
                      <w:rFonts w:hint="default" w:ascii="Times New Roman" w:hAnsi="Times New Roman" w:cs="Times New Roman"/>
                      <w:i w:val="0"/>
                      <w:color w:val="auto"/>
                      <w:kern w:val="0"/>
                      <w:sz w:val="21"/>
                      <w:szCs w:val="21"/>
                      <w:u w:val="none"/>
                      <w:lang w:val="en-US" w:eastAsia="zh-CN" w:bidi="ar"/>
                    </w:rPr>
                    <w:t>6</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76.13</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57.82</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50.9</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30.6</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28.4</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5.3</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10</w:t>
                  </w:r>
                </w:p>
              </w:tc>
              <w:tc>
                <w:tcPr>
                  <w:tcW w:w="86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自动包装机</w:t>
                  </w:r>
                  <w:r>
                    <w:rPr>
                      <w:rFonts w:hint="default" w:ascii="Times New Roman" w:hAnsi="Times New Roman" w:cs="Times New Roman"/>
                      <w:i w:val="0"/>
                      <w:color w:val="auto"/>
                      <w:kern w:val="0"/>
                      <w:sz w:val="21"/>
                      <w:szCs w:val="21"/>
                      <w:u w:val="none"/>
                      <w:lang w:val="en-US" w:eastAsia="zh-CN" w:bidi="ar"/>
                    </w:rPr>
                    <w:t>7</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77.68</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54.5</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54.5</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30.2</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24.7</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56.6</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30.6</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11</w:t>
                  </w:r>
                </w:p>
              </w:tc>
              <w:tc>
                <w:tcPr>
                  <w:tcW w:w="86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自动包装机</w:t>
                  </w:r>
                  <w:r>
                    <w:rPr>
                      <w:rFonts w:hint="default" w:ascii="Times New Roman" w:hAnsi="Times New Roman" w:cs="Times New Roman"/>
                      <w:i w:val="0"/>
                      <w:color w:val="auto"/>
                      <w:kern w:val="0"/>
                      <w:sz w:val="21"/>
                      <w:szCs w:val="21"/>
                      <w:u w:val="none"/>
                      <w:lang w:val="en-US" w:eastAsia="zh-CN" w:bidi="ar"/>
                    </w:rPr>
                    <w:t>8</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79.01</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50.73</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58.5</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30.0</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20.7</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5.9</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56.6</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30.6</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12</w:t>
                  </w:r>
                </w:p>
              </w:tc>
              <w:tc>
                <w:tcPr>
                  <w:tcW w:w="86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自动包装机</w:t>
                  </w:r>
                  <w:r>
                    <w:rPr>
                      <w:rFonts w:hint="default" w:ascii="Times New Roman" w:hAnsi="Times New Roman" w:cs="Times New Roman"/>
                      <w:i w:val="0"/>
                      <w:color w:val="auto"/>
                      <w:kern w:val="0"/>
                      <w:sz w:val="21"/>
                      <w:szCs w:val="21"/>
                      <w:u w:val="none"/>
                      <w:lang w:val="en-US" w:eastAsia="zh-CN" w:bidi="ar"/>
                    </w:rPr>
                    <w:t>9</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67.49</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83.75</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23.5</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31.1</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55.7</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4.9</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13</w:t>
                  </w:r>
                </w:p>
              </w:tc>
              <w:tc>
                <w:tcPr>
                  <w:tcW w:w="86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自动真空包装机</w:t>
                  </w:r>
                  <w:r>
                    <w:rPr>
                      <w:rFonts w:hint="default" w:ascii="Times New Roman" w:hAnsi="Times New Roman" w:cs="Times New Roman"/>
                      <w:i w:val="0"/>
                      <w:color w:val="auto"/>
                      <w:kern w:val="0"/>
                      <w:sz w:val="21"/>
                      <w:szCs w:val="21"/>
                      <w:u w:val="none"/>
                      <w:lang w:val="en-US" w:eastAsia="zh-CN" w:bidi="ar"/>
                    </w:rPr>
                    <w:t>1</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66.82</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88.41</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18.9</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30.3</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60.3</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5.7</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56.6</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30.6</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14</w:t>
                  </w:r>
                </w:p>
              </w:tc>
              <w:tc>
                <w:tcPr>
                  <w:tcW w:w="86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自动包装机</w:t>
                  </w:r>
                  <w:r>
                    <w:rPr>
                      <w:rFonts w:hint="default" w:ascii="Times New Roman" w:hAnsi="Times New Roman" w:cs="Times New Roman"/>
                      <w:i w:val="0"/>
                      <w:color w:val="auto"/>
                      <w:kern w:val="0"/>
                      <w:sz w:val="21"/>
                      <w:szCs w:val="21"/>
                      <w:u w:val="none"/>
                      <w:lang w:val="en-US" w:eastAsia="zh-CN" w:bidi="ar"/>
                    </w:rPr>
                    <w:t>2</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65.72</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91.95</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15.2</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30.3</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64.1</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5.7</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56.6</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30.6</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15</w:t>
                  </w:r>
                </w:p>
              </w:tc>
              <w:tc>
                <w:tcPr>
                  <w:tcW w:w="86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自动包装机</w:t>
                  </w:r>
                  <w:r>
                    <w:rPr>
                      <w:rFonts w:hint="default" w:ascii="Times New Roman" w:hAnsi="Times New Roman" w:cs="Times New Roman"/>
                      <w:i w:val="0"/>
                      <w:color w:val="auto"/>
                      <w:kern w:val="0"/>
                      <w:sz w:val="21"/>
                      <w:szCs w:val="21"/>
                      <w:u w:val="none"/>
                      <w:lang w:val="en-US" w:eastAsia="zh-CN" w:bidi="ar"/>
                    </w:rPr>
                    <w:t>3</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64.39</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95.94</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11.0</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68.3</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56.6</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30.6</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16</w:t>
                  </w:r>
                </w:p>
              </w:tc>
              <w:tc>
                <w:tcPr>
                  <w:tcW w:w="86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整线链接包装线</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73.03</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90.18</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18.9</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23.9</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60.1</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12.1</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17</w:t>
                  </w:r>
                </w:p>
              </w:tc>
              <w:tc>
                <w:tcPr>
                  <w:tcW w:w="862"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精密双联过滤器</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82.34</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67.13</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43.7</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21.9</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35.3</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14.0</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56.4</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18</w:t>
                  </w:r>
                </w:p>
              </w:tc>
              <w:tc>
                <w:tcPr>
                  <w:tcW w:w="862"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纯水净化设备</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75</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72.81</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124.97</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4.7</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68.8</w:t>
                  </w:r>
                </w:p>
              </w:tc>
              <w:tc>
                <w:tcPr>
                  <w:tcW w:w="11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42.8</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24.8</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68.7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42.7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4.4</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68.8</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42.8</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4.8</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68.8</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42.8</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19</w:t>
                  </w:r>
                </w:p>
              </w:tc>
              <w:tc>
                <w:tcPr>
                  <w:tcW w:w="862"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锅炉</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90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87.66</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128.29</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4.1</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83.8</w:t>
                  </w:r>
                </w:p>
              </w:tc>
              <w:tc>
                <w:tcPr>
                  <w:tcW w:w="11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57.8</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9.6</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83.7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57.7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4.7</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83.8</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57.8</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20.0</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83.7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57.7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20</w:t>
                  </w:r>
                </w:p>
              </w:tc>
              <w:tc>
                <w:tcPr>
                  <w:tcW w:w="862" w:type="dxa"/>
                  <w:vMerge w:val="restart"/>
                  <w:noWrap w:val="0"/>
                  <w:vAlign w:val="top"/>
                </w:tcPr>
                <w:p>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锅炉循环泵</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82.78</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126.74</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4.7</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63.8</w:t>
                  </w:r>
                </w:p>
              </w:tc>
              <w:tc>
                <w:tcPr>
                  <w:tcW w:w="11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37.8</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14.7</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63.7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4.1</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63.8</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37.8</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15.0</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63.7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21</w:t>
                  </w:r>
                </w:p>
              </w:tc>
              <w:tc>
                <w:tcPr>
                  <w:tcW w:w="862" w:type="dxa"/>
                  <w:vMerge w:val="restart"/>
                  <w:noWrap w:val="0"/>
                  <w:vAlign w:val="top"/>
                </w:tcPr>
                <w:p>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锅炉给水泵</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70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79.23</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126.3</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4.5</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63.8</w:t>
                  </w:r>
                </w:p>
              </w:tc>
              <w:tc>
                <w:tcPr>
                  <w:tcW w:w="11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37.8</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18.3</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63.7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4.4</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63.8</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37.8</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11.4</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63.7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22</w:t>
                  </w:r>
                </w:p>
              </w:tc>
              <w:tc>
                <w:tcPr>
                  <w:tcW w:w="862"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空气压缩机</w:t>
                  </w:r>
                </w:p>
              </w:tc>
              <w:tc>
                <w:tcPr>
                  <w:tcW w:w="6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80</w:t>
                  </w:r>
                </w:p>
              </w:tc>
              <w:tc>
                <w:tcPr>
                  <w:tcW w:w="58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w:t>
                  </w:r>
                </w:p>
              </w:tc>
              <w:tc>
                <w:tcPr>
                  <w:tcW w:w="180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基础减振、低噪声设备、厂房隔声</w:t>
                  </w:r>
                </w:p>
              </w:tc>
              <w:tc>
                <w:tcPr>
                  <w:tcW w:w="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76.57</w:t>
                  </w:r>
                </w:p>
              </w:tc>
              <w:tc>
                <w:tcPr>
                  <w:tcW w:w="8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124.97</w:t>
                  </w:r>
                </w:p>
              </w:tc>
              <w:tc>
                <w:tcPr>
                  <w:tcW w:w="6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rPr>
                    <w:t>1</w:t>
                  </w: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5.4</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73.8</w:t>
                  </w:r>
                </w:p>
              </w:tc>
              <w:tc>
                <w:tcPr>
                  <w:tcW w:w="11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连续8:00~18.00</w:t>
                  </w:r>
                </w:p>
              </w:tc>
              <w:tc>
                <w:tcPr>
                  <w:tcW w:w="10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20</w:t>
                  </w: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47.8</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东</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21.1</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73.7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47.7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南</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73.8</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47.8</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7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58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80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8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t>西</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8.5</w:t>
                  </w:r>
                </w:p>
              </w:tc>
              <w:tc>
                <w:tcPr>
                  <w:tcW w:w="1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73.7</w:t>
                  </w:r>
                </w:p>
              </w:tc>
              <w:tc>
                <w:tcPr>
                  <w:tcW w:w="118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1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47.7</w:t>
                  </w:r>
                </w:p>
              </w:tc>
              <w:tc>
                <w:tcPr>
                  <w:tcW w:w="918"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bl>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0"/>
              <w:rPr>
                <w:rFonts w:hint="default" w:ascii="Times New Roman" w:hAnsi="Times New Roman" w:eastAsia="宋体" w:cs="Times New Roman"/>
                <w:snapToGrid w:val="0"/>
                <w:color w:val="auto"/>
                <w:kern w:val="0"/>
                <w:sz w:val="24"/>
                <w:szCs w:val="24"/>
                <w:vertAlign w:val="baseline"/>
                <w:lang w:val="en-US" w:eastAsia="zh-CN" w:bidi="ar-SA"/>
              </w:rPr>
            </w:pPr>
            <w:r>
              <w:rPr>
                <w:rFonts w:hint="eastAsia" w:ascii="Times New Roman" w:hAnsi="Times New Roman" w:eastAsia="宋体" w:cs="Times New Roman"/>
                <w:snapToGrid w:val="0"/>
                <w:color w:val="auto"/>
                <w:kern w:val="0"/>
                <w:sz w:val="24"/>
                <w:szCs w:val="24"/>
                <w:vertAlign w:val="baseline"/>
                <w:lang w:val="en-US" w:eastAsia="zh-CN" w:bidi="ar-SA"/>
              </w:rPr>
              <w:t>以厂中心为坐标（0，0）</w:t>
            </w:r>
          </w:p>
          <w:p>
            <w:pPr>
              <w:spacing w:line="360" w:lineRule="auto"/>
              <w:jc w:val="center"/>
              <w:rPr>
                <w:rFonts w:ascii="Times New Roman" w:hAnsi="Times New Roman" w:eastAsia="宋体" w:cs="Times New Roman"/>
                <w:b/>
                <w:bCs/>
                <w:color w:val="auto"/>
                <w:sz w:val="24"/>
                <w:szCs w:val="32"/>
              </w:rPr>
            </w:pPr>
            <w:r>
              <w:rPr>
                <w:rFonts w:ascii="Times New Roman" w:hAnsi="Times New Roman" w:eastAsia="宋体" w:cs="Times New Roman"/>
                <w:b/>
                <w:bCs/>
                <w:color w:val="auto"/>
                <w:sz w:val="24"/>
                <w:szCs w:val="32"/>
              </w:rPr>
              <w:t>表4-</w:t>
            </w:r>
            <w:r>
              <w:rPr>
                <w:rFonts w:hint="eastAsia" w:ascii="Times New Roman" w:hAnsi="Times New Roman" w:eastAsia="宋体" w:cs="Times New Roman"/>
                <w:b/>
                <w:bCs/>
                <w:color w:val="auto"/>
                <w:sz w:val="24"/>
                <w:szCs w:val="32"/>
                <w:lang w:val="en-US" w:eastAsia="zh-CN"/>
              </w:rPr>
              <w:t>1</w:t>
            </w:r>
            <w:r>
              <w:rPr>
                <w:rFonts w:hint="eastAsia" w:cs="Times New Roman"/>
                <w:b/>
                <w:bCs/>
                <w:color w:val="auto"/>
                <w:sz w:val="24"/>
                <w:szCs w:val="32"/>
                <w:lang w:val="en-US" w:eastAsia="zh-CN"/>
              </w:rPr>
              <w:t>6</w:t>
            </w:r>
            <w:r>
              <w:rPr>
                <w:rFonts w:ascii="Times New Roman" w:hAnsi="Times New Roman" w:eastAsia="宋体" w:cs="Times New Roman"/>
                <w:b/>
                <w:bCs/>
                <w:color w:val="auto"/>
                <w:sz w:val="24"/>
                <w:szCs w:val="32"/>
              </w:rPr>
              <w:t xml:space="preserve">  工业企业噪声源强调查清单(室外声源)</w:t>
            </w:r>
          </w:p>
          <w:tbl>
            <w:tblPr>
              <w:tblStyle w:val="24"/>
              <w:tblW w:w="13353"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3"/>
              <w:gridCol w:w="2420"/>
              <w:gridCol w:w="1729"/>
              <w:gridCol w:w="979"/>
              <w:gridCol w:w="1046"/>
              <w:gridCol w:w="838"/>
              <w:gridCol w:w="2144"/>
              <w:gridCol w:w="2248"/>
              <w:gridCol w:w="14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3" w:type="dxa"/>
                  <w:vMerge w:val="restart"/>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序号</w:t>
                  </w:r>
                </w:p>
              </w:tc>
              <w:tc>
                <w:tcPr>
                  <w:tcW w:w="2420" w:type="dxa"/>
                  <w:vMerge w:val="restart"/>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声源名称</w:t>
                  </w:r>
                </w:p>
              </w:tc>
              <w:tc>
                <w:tcPr>
                  <w:tcW w:w="1729" w:type="dxa"/>
                  <w:vMerge w:val="restart"/>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型号</w:t>
                  </w:r>
                </w:p>
              </w:tc>
              <w:tc>
                <w:tcPr>
                  <w:tcW w:w="2863" w:type="dxa"/>
                  <w:gridSpan w:val="3"/>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空间相对位置</w:t>
                  </w:r>
                </w:p>
              </w:tc>
              <w:tc>
                <w:tcPr>
                  <w:tcW w:w="2144"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声源源强</w:t>
                  </w:r>
                </w:p>
              </w:tc>
              <w:tc>
                <w:tcPr>
                  <w:tcW w:w="2248" w:type="dxa"/>
                  <w:vMerge w:val="restart"/>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声源控制措施</w:t>
                  </w:r>
                </w:p>
              </w:tc>
              <w:tc>
                <w:tcPr>
                  <w:tcW w:w="1436" w:type="dxa"/>
                  <w:vMerge w:val="restart"/>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运行时段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3" w:type="dxa"/>
                  <w:vMerge w:val="continue"/>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p>
              </w:tc>
              <w:tc>
                <w:tcPr>
                  <w:tcW w:w="2420" w:type="dxa"/>
                  <w:vMerge w:val="continue"/>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p>
              </w:tc>
              <w:tc>
                <w:tcPr>
                  <w:tcW w:w="1729" w:type="dxa"/>
                  <w:vMerge w:val="continue"/>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p>
              </w:tc>
              <w:tc>
                <w:tcPr>
                  <w:tcW w:w="979"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X</w:t>
                  </w:r>
                </w:p>
              </w:tc>
              <w:tc>
                <w:tcPr>
                  <w:tcW w:w="1046"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Y</w:t>
                  </w:r>
                </w:p>
              </w:tc>
              <w:tc>
                <w:tcPr>
                  <w:tcW w:w="838"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Z</w:t>
                  </w:r>
                </w:p>
              </w:tc>
              <w:tc>
                <w:tcPr>
                  <w:tcW w:w="2144"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声压级/距声源距离/dB(A)/m</w:t>
                  </w:r>
                </w:p>
              </w:tc>
              <w:tc>
                <w:tcPr>
                  <w:tcW w:w="2248" w:type="dxa"/>
                  <w:vMerge w:val="continue"/>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p>
              </w:tc>
              <w:tc>
                <w:tcPr>
                  <w:tcW w:w="1436" w:type="dxa"/>
                  <w:vMerge w:val="continue"/>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13"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1</w:t>
                  </w:r>
                </w:p>
              </w:tc>
              <w:tc>
                <w:tcPr>
                  <w:tcW w:w="2420" w:type="dxa"/>
                  <w:noWrap w:val="0"/>
                  <w:vAlign w:val="center"/>
                </w:tcPr>
                <w:p>
                  <w:pPr>
                    <w:spacing w:line="240" w:lineRule="auto"/>
                    <w:ind w:left="-120" w:leftChars="-50"/>
                    <w:jc w:val="center"/>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color w:val="auto"/>
                      <w:sz w:val="21"/>
                      <w:szCs w:val="21"/>
                      <w:lang w:val="en-US" w:eastAsia="zh-CN"/>
                    </w:rPr>
                    <w:t>压滤机</w:t>
                  </w:r>
                </w:p>
              </w:tc>
              <w:tc>
                <w:tcPr>
                  <w:tcW w:w="1729"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w:t>
                  </w:r>
                </w:p>
              </w:tc>
              <w:tc>
                <w:tcPr>
                  <w:tcW w:w="979"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eastAsia"/>
                      <w:color w:val="auto"/>
                    </w:rPr>
                    <w:t>87.43</w:t>
                  </w:r>
                </w:p>
              </w:tc>
              <w:tc>
                <w:tcPr>
                  <w:tcW w:w="1046"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eastAsia"/>
                      <w:color w:val="auto"/>
                    </w:rPr>
                    <w:t>115.88</w:t>
                  </w:r>
                </w:p>
              </w:tc>
              <w:tc>
                <w:tcPr>
                  <w:tcW w:w="838"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eastAsia"/>
                      <w:color w:val="auto"/>
                    </w:rPr>
                    <w:t>1</w:t>
                  </w:r>
                </w:p>
              </w:tc>
              <w:tc>
                <w:tcPr>
                  <w:tcW w:w="2144" w:type="dxa"/>
                  <w:noWrap w:val="0"/>
                  <w:vAlign w:val="center"/>
                </w:tcPr>
                <w:p>
                  <w:pPr>
                    <w:widowControl/>
                    <w:spacing w:line="240" w:lineRule="auto"/>
                    <w:jc w:val="center"/>
                    <w:rPr>
                      <w:rFonts w:hint="default" w:ascii="Times New Roman" w:hAnsi="Times New Roman" w:eastAsia="宋体" w:cs="Times New Roman"/>
                      <w:snapToGrid w:val="0"/>
                      <w:color w:val="auto"/>
                      <w:sz w:val="21"/>
                      <w:szCs w:val="21"/>
                    </w:rPr>
                  </w:pPr>
                  <w:r>
                    <w:rPr>
                      <w:rFonts w:hint="eastAsia" w:ascii="Times New Roman" w:hAnsi="Times New Roman" w:eastAsia="宋体" w:cs="Times New Roman"/>
                      <w:color w:val="auto"/>
                      <w:kern w:val="0"/>
                      <w:sz w:val="21"/>
                      <w:szCs w:val="21"/>
                      <w:lang w:val="en-US" w:eastAsia="zh-CN"/>
                    </w:rPr>
                    <w:t>80</w:t>
                  </w:r>
                  <w:r>
                    <w:rPr>
                      <w:rFonts w:hint="default" w:ascii="Times New Roman" w:hAnsi="Times New Roman" w:eastAsia="宋体" w:cs="Times New Roman"/>
                      <w:snapToGrid w:val="0"/>
                      <w:color w:val="auto"/>
                      <w:sz w:val="21"/>
                      <w:szCs w:val="21"/>
                    </w:rPr>
                    <w:t>dB(A)/1m</w:t>
                  </w:r>
                </w:p>
              </w:tc>
              <w:tc>
                <w:tcPr>
                  <w:tcW w:w="2248" w:type="dxa"/>
                  <w:noWrap w:val="0"/>
                  <w:vAlign w:val="center"/>
                </w:tcPr>
                <w:p>
                  <w:pPr>
                    <w:spacing w:line="240" w:lineRule="auto"/>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color w:val="auto"/>
                      <w:sz w:val="21"/>
                      <w:szCs w:val="21"/>
                    </w:rPr>
                    <w:t>选用低噪声设备，安装减震基垫</w:t>
                  </w:r>
                </w:p>
              </w:tc>
              <w:tc>
                <w:tcPr>
                  <w:tcW w:w="1436"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highlight w:val="none"/>
                      <w:vertAlign w:val="baseline"/>
                      <w:lang w:val="en-US" w:eastAsia="zh-CN"/>
                    </w:rPr>
                    <w:t>连续8:00~18.00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3"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2</w:t>
                  </w:r>
                </w:p>
              </w:tc>
              <w:tc>
                <w:tcPr>
                  <w:tcW w:w="2420" w:type="dxa"/>
                  <w:noWrap w:val="0"/>
                  <w:vAlign w:val="center"/>
                </w:tcPr>
                <w:p>
                  <w:pPr>
                    <w:spacing w:line="240" w:lineRule="auto"/>
                    <w:ind w:left="-120" w:leftChars="-5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污水处理站设施水泵</w:t>
                  </w:r>
                </w:p>
              </w:tc>
              <w:tc>
                <w:tcPr>
                  <w:tcW w:w="1729"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w:t>
                  </w:r>
                </w:p>
              </w:tc>
              <w:tc>
                <w:tcPr>
                  <w:tcW w:w="979"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eastAsia"/>
                      <w:color w:val="auto"/>
                    </w:rPr>
                    <w:t>84.64</w:t>
                  </w:r>
                </w:p>
              </w:tc>
              <w:tc>
                <w:tcPr>
                  <w:tcW w:w="1046"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eastAsia"/>
                      <w:color w:val="auto"/>
                    </w:rPr>
                    <w:t>115.33</w:t>
                  </w:r>
                </w:p>
              </w:tc>
              <w:tc>
                <w:tcPr>
                  <w:tcW w:w="838"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kern w:val="0"/>
                      <w:sz w:val="21"/>
                      <w:szCs w:val="21"/>
                    </w:rPr>
                  </w:pPr>
                  <w:r>
                    <w:rPr>
                      <w:rFonts w:hint="eastAsia"/>
                      <w:color w:val="auto"/>
                    </w:rPr>
                    <w:t>1</w:t>
                  </w:r>
                </w:p>
              </w:tc>
              <w:tc>
                <w:tcPr>
                  <w:tcW w:w="2144" w:type="dxa"/>
                  <w:noWrap w:val="0"/>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70</w:t>
                  </w:r>
                  <w:r>
                    <w:rPr>
                      <w:rFonts w:hint="default" w:ascii="Times New Roman" w:hAnsi="Times New Roman" w:eastAsia="宋体" w:cs="Times New Roman"/>
                      <w:snapToGrid w:val="0"/>
                      <w:color w:val="auto"/>
                      <w:sz w:val="21"/>
                      <w:szCs w:val="21"/>
                    </w:rPr>
                    <w:t>dB(A)/1m</w:t>
                  </w:r>
                </w:p>
              </w:tc>
              <w:tc>
                <w:tcPr>
                  <w:tcW w:w="2248" w:type="dxa"/>
                  <w:noWrap w:val="0"/>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选用低噪声设备，安装减震基垫</w:t>
                  </w:r>
                </w:p>
              </w:tc>
              <w:tc>
                <w:tcPr>
                  <w:tcW w:w="1436" w:type="dxa"/>
                  <w:noWrap w:val="0"/>
                  <w:vAlign w:val="center"/>
                </w:tcPr>
                <w:p>
                  <w:pPr>
                    <w:widowControl/>
                    <w:adjustRightInd w:val="0"/>
                    <w:snapToGrid w:val="0"/>
                    <w:spacing w:line="240" w:lineRule="auto"/>
                    <w:jc w:val="center"/>
                    <w:outlineLvl w:val="0"/>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color w:val="auto"/>
                      <w:sz w:val="21"/>
                      <w:szCs w:val="21"/>
                      <w:highlight w:val="none"/>
                      <w:vertAlign w:val="baseline"/>
                      <w:lang w:val="en-US" w:eastAsia="zh-CN"/>
                    </w:rPr>
                    <w:t>连续8:00~18.00</w:t>
                  </w:r>
                </w:p>
              </w:tc>
            </w:tr>
          </w:tbl>
          <w:p>
            <w:pPr>
              <w:bidi w:val="0"/>
              <w:ind w:firstLine="480" w:firstLineChars="200"/>
              <w:rPr>
                <w:rFonts w:hint="default"/>
                <w:color w:val="auto"/>
                <w:lang w:val="en-US" w:eastAsia="zh-CN"/>
              </w:rPr>
            </w:pPr>
            <w:r>
              <w:rPr>
                <w:rFonts w:hint="eastAsia"/>
                <w:color w:val="auto"/>
                <w:lang w:val="en-US" w:eastAsia="zh-CN"/>
              </w:rPr>
              <w:t>以厂中心为坐标（0，0）</w:t>
            </w:r>
          </w:p>
          <w:p>
            <w:pPr>
              <w:ind w:firstLine="480" w:firstLineChars="200"/>
              <w:rPr>
                <w:rFonts w:ascii="Times New Roman" w:hAnsi="Times New Roman" w:eastAsia="宋体" w:cs="Times New Roman"/>
                <w:color w:val="auto"/>
              </w:rPr>
            </w:pPr>
            <w:r>
              <w:rPr>
                <w:rFonts w:ascii="Times New Roman" w:hAnsi="Times New Roman" w:eastAsia="宋体" w:cs="Times New Roman"/>
                <w:color w:val="auto"/>
              </w:rPr>
              <w:t>（1）噪声防治原则</w:t>
            </w:r>
          </w:p>
          <w:p>
            <w:pPr>
              <w:ind w:firstLine="480" w:firstLineChars="200"/>
              <w:rPr>
                <w:rFonts w:ascii="Times New Roman" w:hAnsi="Times New Roman" w:eastAsia="宋体" w:cs="Times New Roman"/>
                <w:color w:val="auto"/>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 1 \* GB3 \* MERGEFORMAT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①</w:t>
            </w:r>
            <w:r>
              <w:rPr>
                <w:rFonts w:ascii="Times New Roman" w:hAnsi="Times New Roman" w:eastAsia="宋体" w:cs="Times New Roman"/>
                <w:color w:val="auto"/>
              </w:rPr>
              <w:fldChar w:fldCharType="end"/>
            </w:r>
            <w:r>
              <w:rPr>
                <w:rFonts w:ascii="Times New Roman" w:hAnsi="Times New Roman" w:eastAsia="宋体" w:cs="Times New Roman"/>
                <w:color w:val="auto"/>
              </w:rPr>
              <w:t>噪声的防治首先从声源上控制，其次从传播途径上进行控制；</w:t>
            </w:r>
          </w:p>
          <w:p>
            <w:pPr>
              <w:ind w:firstLine="480" w:firstLineChars="200"/>
              <w:rPr>
                <w:rFonts w:ascii="Times New Roman" w:hAnsi="Times New Roman" w:eastAsia="宋体" w:cs="Times New Roman"/>
                <w:color w:val="auto"/>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 2 \* GB3 \* MERGEFORMAT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②</w:t>
            </w:r>
            <w:r>
              <w:rPr>
                <w:rFonts w:ascii="Times New Roman" w:hAnsi="Times New Roman" w:eastAsia="宋体" w:cs="Times New Roman"/>
                <w:color w:val="auto"/>
              </w:rPr>
              <w:fldChar w:fldCharType="end"/>
            </w:r>
            <w:r>
              <w:rPr>
                <w:rFonts w:ascii="Times New Roman" w:hAnsi="Times New Roman" w:eastAsia="宋体" w:cs="Times New Roman"/>
                <w:color w:val="auto"/>
              </w:rPr>
              <w:t>对于从声源上无法控制的噪声，应采取有效的隔声、消声、吸声等控制措施；</w:t>
            </w:r>
          </w:p>
          <w:p>
            <w:pPr>
              <w:ind w:firstLine="480" w:firstLineChars="200"/>
              <w:rPr>
                <w:rFonts w:ascii="Times New Roman" w:hAnsi="Times New Roman" w:eastAsia="宋体" w:cs="Times New Roman"/>
                <w:color w:val="auto"/>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 3 \* GB3 \* MERGEFORMAT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③</w:t>
            </w:r>
            <w:r>
              <w:rPr>
                <w:rFonts w:ascii="Times New Roman" w:hAnsi="Times New Roman" w:eastAsia="宋体" w:cs="Times New Roman"/>
                <w:color w:val="auto"/>
              </w:rPr>
              <w:fldChar w:fldCharType="end"/>
            </w:r>
            <w:r>
              <w:rPr>
                <w:rFonts w:ascii="Times New Roman" w:hAnsi="Times New Roman" w:eastAsia="宋体" w:cs="Times New Roman"/>
                <w:color w:val="auto"/>
              </w:rPr>
              <w:t>对于噪声超过国家规定标准的车间，可设置隔声值班室；对于厂区噪声，应从平面布置上考虑；</w:t>
            </w:r>
          </w:p>
          <w:p>
            <w:pPr>
              <w:ind w:firstLine="480" w:firstLineChars="200"/>
              <w:rPr>
                <w:rFonts w:ascii="Times New Roman" w:hAnsi="Times New Roman" w:eastAsia="宋体" w:cs="Times New Roman"/>
                <w:color w:val="auto"/>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 4 \* GB3 \* MERGEFORMAT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④</w:t>
            </w:r>
            <w:r>
              <w:rPr>
                <w:rFonts w:ascii="Times New Roman" w:hAnsi="Times New Roman" w:eastAsia="宋体" w:cs="Times New Roman"/>
                <w:color w:val="auto"/>
              </w:rPr>
              <w:fldChar w:fldCharType="end"/>
            </w:r>
            <w:r>
              <w:rPr>
                <w:rFonts w:ascii="Times New Roman" w:hAnsi="Times New Roman" w:eastAsia="宋体" w:cs="Times New Roman"/>
                <w:color w:val="auto"/>
              </w:rPr>
              <w:t>另外在厂区总平面布置中统筹规划，合理布局，强噪声源集中布置在远离人群的地方。</w:t>
            </w:r>
          </w:p>
          <w:p>
            <w:pPr>
              <w:ind w:firstLine="480" w:firstLineChars="200"/>
              <w:rPr>
                <w:rFonts w:ascii="Times New Roman" w:hAnsi="Times New Roman" w:eastAsia="宋体" w:cs="Times New Roman"/>
                <w:color w:val="auto"/>
              </w:rPr>
            </w:pPr>
            <w:r>
              <w:rPr>
                <w:rFonts w:ascii="Times New Roman" w:hAnsi="Times New Roman" w:eastAsia="宋体" w:cs="Times New Roman"/>
                <w:color w:val="auto"/>
              </w:rPr>
              <w:t>（2）噪声防治措施</w:t>
            </w:r>
          </w:p>
          <w:p>
            <w:pPr>
              <w:ind w:firstLine="480" w:firstLineChars="200"/>
              <w:rPr>
                <w:rFonts w:ascii="Times New Roman" w:hAnsi="Times New Roman" w:eastAsia="宋体" w:cs="Times New Roman"/>
                <w:color w:val="auto"/>
              </w:rPr>
            </w:pPr>
            <w:r>
              <w:rPr>
                <w:rFonts w:ascii="Times New Roman" w:hAnsi="Times New Roman" w:eastAsia="宋体" w:cs="Times New Roman"/>
                <w:color w:val="auto"/>
              </w:rPr>
              <w:t>①在厂区总体布置中，采取</w:t>
            </w:r>
            <w:r>
              <w:rPr>
                <w:rFonts w:hint="eastAsia" w:cs="Times New Roman"/>
                <w:color w:val="auto"/>
                <w:lang w:eastAsia="zh-CN"/>
              </w:rPr>
              <w:t>“</w:t>
            </w:r>
            <w:r>
              <w:rPr>
                <w:rFonts w:ascii="Times New Roman" w:hAnsi="Times New Roman" w:eastAsia="宋体" w:cs="Times New Roman"/>
                <w:color w:val="auto"/>
              </w:rPr>
              <w:t>静闹分开、统筹规划、合理布置</w:t>
            </w:r>
            <w:r>
              <w:rPr>
                <w:rFonts w:hint="eastAsia" w:cs="Times New Roman"/>
                <w:color w:val="auto"/>
                <w:lang w:eastAsia="zh-CN"/>
              </w:rPr>
              <w:t>”</w:t>
            </w:r>
            <w:r>
              <w:rPr>
                <w:rFonts w:ascii="Times New Roman" w:hAnsi="Times New Roman" w:eastAsia="宋体" w:cs="Times New Roman"/>
                <w:color w:val="auto"/>
              </w:rPr>
              <w:t>的原则，将产生高噪声的设备集中布置，并与要求安静的控制室、值班及办公室分开。</w:t>
            </w:r>
          </w:p>
          <w:p>
            <w:pPr>
              <w:ind w:firstLine="480" w:firstLineChars="200"/>
              <w:rPr>
                <w:rFonts w:ascii="Times New Roman" w:hAnsi="Times New Roman" w:eastAsia="宋体" w:cs="Times New Roman"/>
                <w:color w:val="auto"/>
              </w:rPr>
            </w:pPr>
            <w:r>
              <w:rPr>
                <w:rFonts w:ascii="Times New Roman" w:hAnsi="Times New Roman" w:eastAsia="宋体" w:cs="Times New Roman"/>
                <w:color w:val="auto"/>
              </w:rPr>
              <w:t>②对声源进行控制，是降低项目设备噪声最有效的方法。在设备选型、订货时，向厂家提出对设备的噪声要求，同类设备优先选择噪声较低的设备。</w:t>
            </w:r>
          </w:p>
          <w:p>
            <w:pPr>
              <w:ind w:firstLine="480" w:firstLineChars="200"/>
              <w:rPr>
                <w:rFonts w:ascii="Times New Roman" w:hAnsi="Times New Roman" w:eastAsia="宋体" w:cs="Times New Roman"/>
                <w:color w:val="auto"/>
              </w:rPr>
            </w:pPr>
            <w:r>
              <w:rPr>
                <w:rFonts w:ascii="Times New Roman" w:hAnsi="Times New Roman" w:eastAsia="宋体" w:cs="Times New Roman"/>
                <w:color w:val="auto"/>
              </w:rPr>
              <w:t>③需根据噪声形成的机理，结合生产工艺的特点，采用声源降噪措施，对于某些设备运行时振动产生噪声，设备基础隔振、减振</w:t>
            </w:r>
            <w:r>
              <w:rPr>
                <w:rFonts w:hint="eastAsia" w:ascii="Times New Roman" w:hAnsi="Times New Roman" w:eastAsia="宋体" w:cs="Times New Roman"/>
                <w:color w:val="auto"/>
              </w:rPr>
              <w:t>，</w:t>
            </w:r>
            <w:r>
              <w:rPr>
                <w:rFonts w:ascii="Times New Roman" w:hAnsi="Times New Roman" w:eastAsia="宋体" w:cs="Times New Roman"/>
                <w:color w:val="auto"/>
              </w:rPr>
              <w:t>锅炉</w:t>
            </w:r>
            <w:r>
              <w:rPr>
                <w:rFonts w:hint="eastAsia" w:cs="Times New Roman"/>
                <w:color w:val="auto"/>
                <w:lang w:val="en-US" w:eastAsia="zh-CN"/>
              </w:rPr>
              <w:t>房安装隔声门窗</w:t>
            </w:r>
            <w:r>
              <w:rPr>
                <w:rFonts w:ascii="Times New Roman" w:hAnsi="Times New Roman" w:eastAsia="宋体" w:cs="Times New Roman"/>
                <w:color w:val="auto"/>
              </w:rPr>
              <w:t>，并定期对设备进行检修处理，确保设备运行工况良好；</w:t>
            </w:r>
          </w:p>
          <w:p>
            <w:pPr>
              <w:ind w:firstLine="480" w:firstLineChars="200"/>
              <w:rPr>
                <w:rFonts w:ascii="Times New Roman" w:hAnsi="Times New Roman" w:eastAsia="宋体" w:cs="Times New Roman"/>
                <w:color w:val="auto"/>
              </w:rPr>
            </w:pPr>
            <w:r>
              <w:rPr>
                <w:rFonts w:ascii="Times New Roman" w:hAnsi="Times New Roman" w:eastAsia="宋体" w:cs="Times New Roman"/>
                <w:color w:val="auto"/>
              </w:rPr>
              <w:t>④加强对运输车辆的管理，禁止运输车辆进出时鸣笛；</w:t>
            </w:r>
          </w:p>
          <w:p>
            <w:pPr>
              <w:widowControl/>
              <w:snapToGrid w:val="0"/>
              <w:spacing w:before="0" w:after="0" w:line="360" w:lineRule="auto"/>
              <w:ind w:right="0" w:firstLine="480" w:firstLineChars="200"/>
              <w:jc w:val="both"/>
              <w:rPr>
                <w:rFonts w:hint="eastAsia" w:eastAsia="宋体"/>
                <w:color w:val="auto"/>
                <w:vertAlign w:val="baseline"/>
                <w:lang w:val="en-US" w:eastAsia="zh-CN"/>
              </w:rPr>
            </w:pPr>
            <w:r>
              <w:rPr>
                <w:rFonts w:ascii="Times New Roman" w:hAnsi="Times New Roman" w:eastAsia="宋体" w:cs="Times New Roman"/>
                <w:color w:val="auto"/>
                <w:kern w:val="0"/>
                <w:sz w:val="24"/>
                <w:szCs w:val="24"/>
                <w:lang w:val="en-US" w:eastAsia="zh-CN" w:bidi="ar-SA"/>
              </w:rPr>
              <w:t>通过以上措施后，噪声污染可以得到有效的控制；另外厂区内各建筑物及对噪声与一定的吸声作用效果，通过上述措施噪声可控制厂界噪声达到《工业企业厂界环境噪声排放标准》（GB12348-2008）中</w:t>
            </w:r>
            <w:r>
              <w:rPr>
                <w:rFonts w:hint="eastAsia" w:ascii="Times New Roman" w:hAnsi="Times New Roman" w:eastAsia="宋体" w:cs="Times New Roman"/>
                <w:color w:val="auto"/>
                <w:kern w:val="0"/>
                <w:sz w:val="24"/>
                <w:szCs w:val="24"/>
                <w:lang w:val="en-US" w:eastAsia="zh-CN" w:bidi="ar-SA"/>
              </w:rPr>
              <w:t>3</w:t>
            </w:r>
            <w:r>
              <w:rPr>
                <w:rFonts w:ascii="Times New Roman" w:hAnsi="Times New Roman" w:eastAsia="宋体" w:cs="Times New Roman"/>
                <w:color w:val="auto"/>
                <w:kern w:val="0"/>
                <w:sz w:val="24"/>
                <w:szCs w:val="24"/>
                <w:lang w:val="en-US" w:eastAsia="zh-CN" w:bidi="ar-SA"/>
              </w:rPr>
              <w:t>类标准。</w:t>
            </w:r>
            <w:r>
              <w:rPr>
                <w:rFonts w:hint="eastAsia" w:ascii="Times New Roman" w:hAnsi="Times New Roman" w:eastAsia="宋体" w:cs="Times New Roman"/>
                <w:color w:val="auto"/>
                <w:kern w:val="0"/>
                <w:sz w:val="24"/>
                <w:szCs w:val="24"/>
                <w:lang w:val="en-US" w:eastAsia="zh-CN" w:bidi="ar-SA"/>
              </w:rPr>
              <w:t>噪声防治措施可行。</w:t>
            </w:r>
          </w:p>
        </w:tc>
      </w:tr>
    </w:tbl>
    <w:p>
      <w:pPr>
        <w:bidi w:val="0"/>
        <w:rPr>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7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36" w:type="dxa"/>
            <w:vAlign w:val="center"/>
          </w:tcPr>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pPr>
              <w:bidi w:val="0"/>
              <w:rPr>
                <w:rFonts w:hint="default" w:ascii="Times New Roman" w:hAnsi="Times New Roman" w:eastAsia="宋体" w:cs="Times New Roman"/>
                <w:color w:val="auto"/>
                <w:vertAlign w:val="baseline"/>
              </w:rPr>
            </w:pPr>
            <w:r>
              <w:rPr>
                <w:rFonts w:hint="default" w:ascii="Times New Roman" w:hAnsi="Times New Roman" w:eastAsia="宋体" w:cs="Times New Roman"/>
                <w:bCs/>
                <w:color w:val="auto"/>
                <w:sz w:val="24"/>
                <w:szCs w:val="24"/>
              </w:rPr>
              <w:t>措施</w:t>
            </w:r>
          </w:p>
        </w:tc>
        <w:tc>
          <w:tcPr>
            <w:tcW w:w="7886" w:type="dxa"/>
            <w:vAlign w:val="center"/>
          </w:tcPr>
          <w:p>
            <w:pPr>
              <w:bidi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、达标性分析</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室内声源根据</w:t>
            </w:r>
            <w:r>
              <w:rPr>
                <w:rFonts w:ascii="Times New Roman" w:hAnsi="Times New Roman" w:eastAsia="宋体" w:cs="Times New Roman"/>
                <w:color w:val="auto"/>
                <w:sz w:val="24"/>
              </w:rPr>
              <w:t>《环境影响评价技术导则   声环境》（HJ2.4-2021），本次评价采用其中附录</w:t>
            </w:r>
            <w:r>
              <w:rPr>
                <w:rFonts w:hint="eastAsia" w:ascii="Times New Roman" w:hAnsi="Times New Roman" w:eastAsia="宋体" w:cs="Times New Roman"/>
                <w:color w:val="auto"/>
                <w:sz w:val="24"/>
              </w:rPr>
              <w:t>B工业噪声预测计算模型</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计算某一室内声源靠近围护结构处产生的倍频带声压级或A声级：</w:t>
            </w:r>
          </w:p>
          <w:p>
            <w:pPr>
              <w:spacing w:line="360" w:lineRule="auto"/>
              <w:jc w:val="center"/>
              <w:rPr>
                <w:rFonts w:ascii="Times New Roman" w:hAnsi="Times New Roman" w:eastAsia="宋体" w:cs="Times New Roman"/>
                <w:color w:val="auto"/>
                <w:sz w:val="24"/>
              </w:rPr>
            </w:pPr>
            <w:r>
              <w:rPr>
                <w:rFonts w:ascii="Times New Roman" w:hAnsi="Times New Roman" w:eastAsia="宋体" w:cs="Times New Roman"/>
                <w:color w:val="auto"/>
                <w:sz w:val="24"/>
              </w:rPr>
              <w:drawing>
                <wp:inline distT="0" distB="0" distL="114300" distR="114300">
                  <wp:extent cx="2190750" cy="49530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4"/>
                          <a:stretch>
                            <a:fillRect/>
                          </a:stretch>
                        </pic:blipFill>
                        <pic:spPr>
                          <a:xfrm>
                            <a:off x="0" y="0"/>
                            <a:ext cx="2190750" cy="49530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式中：Lp1—靠近开口处（或窗户）室内某倍频带的声压级或A声级，dB；</w:t>
            </w:r>
          </w:p>
          <w:p>
            <w:pPr>
              <w:spacing w:line="360" w:lineRule="auto"/>
              <w:ind w:firstLine="1200" w:firstLineChars="500"/>
              <w:rPr>
                <w:rFonts w:ascii="Times New Roman" w:hAnsi="Times New Roman" w:eastAsia="宋体" w:cs="Times New Roman"/>
                <w:color w:val="auto"/>
                <w:sz w:val="24"/>
              </w:rPr>
            </w:pPr>
            <w:r>
              <w:rPr>
                <w:rFonts w:ascii="Times New Roman" w:hAnsi="Times New Roman" w:eastAsia="宋体" w:cs="Times New Roman"/>
                <w:color w:val="auto"/>
                <w:sz w:val="24"/>
              </w:rPr>
              <w:t>Lw—点声源声功率级（A计权或倍频带），dB</w:t>
            </w:r>
          </w:p>
          <w:p>
            <w:pPr>
              <w:spacing w:line="360" w:lineRule="auto"/>
              <w:ind w:firstLine="1200" w:firstLineChars="500"/>
              <w:rPr>
                <w:rFonts w:ascii="Times New Roman" w:hAnsi="Times New Roman" w:eastAsia="宋体" w:cs="Times New Roman"/>
                <w:color w:val="auto"/>
                <w:sz w:val="24"/>
              </w:rPr>
            </w:pPr>
            <w:r>
              <w:rPr>
                <w:rFonts w:ascii="Times New Roman" w:hAnsi="Times New Roman" w:eastAsia="宋体" w:cs="Times New Roman"/>
                <w:color w:val="auto"/>
                <w:sz w:val="24"/>
              </w:rPr>
              <w:t>Q—指向性因数；通常对无指向性声源，当声源放在房间中心时，</w:t>
            </w:r>
          </w:p>
          <w:p>
            <w:pPr>
              <w:spacing w:line="360" w:lineRule="auto"/>
              <w:rPr>
                <w:rFonts w:ascii="Times New Roman" w:hAnsi="Times New Roman" w:eastAsia="宋体" w:cs="Times New Roman"/>
                <w:color w:val="auto"/>
                <w:sz w:val="24"/>
              </w:rPr>
            </w:pPr>
            <w:r>
              <w:rPr>
                <w:rFonts w:ascii="Times New Roman" w:hAnsi="Times New Roman" w:eastAsia="宋体" w:cs="Times New Roman"/>
                <w:color w:val="auto"/>
                <w:sz w:val="24"/>
              </w:rPr>
              <w:t>Q=1；当放在一面墙的中心时，Q=2；当放在两面墙夹角处时，Q=4；当放在三面墙夹角处时，Q=8；</w:t>
            </w:r>
          </w:p>
          <w:p>
            <w:pPr>
              <w:spacing w:line="360" w:lineRule="auto"/>
              <w:ind w:firstLine="1200" w:firstLineChars="500"/>
              <w:rPr>
                <w:rFonts w:ascii="Times New Roman" w:hAnsi="Times New Roman" w:eastAsia="宋体" w:cs="Times New Roman"/>
                <w:color w:val="auto"/>
                <w:sz w:val="24"/>
              </w:rPr>
            </w:pPr>
            <w:r>
              <w:rPr>
                <w:rFonts w:ascii="Times New Roman" w:hAnsi="Times New Roman" w:eastAsia="宋体" w:cs="Times New Roman"/>
                <w:color w:val="auto"/>
                <w:sz w:val="24"/>
              </w:rPr>
              <w:t>R—房间常数；R=Sα/（1-α），S为房间内表面面积，m2；α为平均吸声系数；</w:t>
            </w:r>
          </w:p>
          <w:p>
            <w:pPr>
              <w:spacing w:line="360" w:lineRule="auto"/>
              <w:ind w:firstLine="1200" w:firstLineChars="500"/>
              <w:rPr>
                <w:rFonts w:ascii="Times New Roman" w:hAnsi="Times New Roman" w:eastAsia="宋体" w:cs="Times New Roman"/>
                <w:color w:val="auto"/>
                <w:sz w:val="24"/>
              </w:rPr>
            </w:pPr>
            <w:r>
              <w:rPr>
                <w:rFonts w:ascii="Times New Roman" w:hAnsi="Times New Roman" w:eastAsia="宋体" w:cs="Times New Roman"/>
                <w:color w:val="auto"/>
                <w:sz w:val="24"/>
              </w:rPr>
              <w:t>r—声源到靠近围护结构某点处的距离。</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然后按</w:t>
            </w:r>
            <w:r>
              <w:rPr>
                <w:rFonts w:hint="eastAsia" w:ascii="Times New Roman" w:hAnsi="Times New Roman" w:eastAsia="宋体" w:cs="Times New Roman"/>
                <w:color w:val="auto"/>
                <w:sz w:val="24"/>
              </w:rPr>
              <w:t>下面公式</w:t>
            </w:r>
            <w:r>
              <w:rPr>
                <w:rFonts w:ascii="Times New Roman" w:hAnsi="Times New Roman" w:eastAsia="宋体" w:cs="Times New Roman"/>
                <w:color w:val="auto"/>
                <w:sz w:val="24"/>
              </w:rPr>
              <w:t>计算出所有室内声源在围护结构处产生的i倍频带叠加声压级：</w:t>
            </w:r>
          </w:p>
          <w:p>
            <w:pPr>
              <w:widowControl/>
              <w:snapToGrid w:val="0"/>
              <w:spacing w:before="60" w:after="160" w:line="360" w:lineRule="auto"/>
              <w:ind w:right="113"/>
              <w:jc w:val="center"/>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drawing>
                <wp:inline distT="0" distB="0" distL="114300" distR="114300">
                  <wp:extent cx="1924050" cy="561975"/>
                  <wp:effectExtent l="0" t="0" r="0" b="952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25"/>
                          <a:stretch>
                            <a:fillRect/>
                          </a:stretch>
                        </pic:blipFill>
                        <pic:spPr>
                          <a:xfrm>
                            <a:off x="0" y="0"/>
                            <a:ext cx="1924050" cy="56197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式中：Lp1iT——靠近围护结构处室内N个声源i倍频带的叠加声压级，dB；</w:t>
            </w:r>
          </w:p>
          <w:p>
            <w:pPr>
              <w:spacing w:line="360" w:lineRule="auto"/>
              <w:ind w:firstLine="1200" w:firstLineChars="500"/>
              <w:rPr>
                <w:rFonts w:ascii="Times New Roman" w:hAnsi="Times New Roman" w:eastAsia="宋体" w:cs="Times New Roman"/>
                <w:color w:val="auto"/>
                <w:sz w:val="24"/>
              </w:rPr>
            </w:pPr>
            <w:r>
              <w:rPr>
                <w:rFonts w:ascii="Times New Roman" w:hAnsi="Times New Roman" w:eastAsia="宋体" w:cs="Times New Roman"/>
                <w:color w:val="auto"/>
                <w:sz w:val="24"/>
              </w:rPr>
              <w:t>Lp1ij——室内j声源i倍频带的声压级，dB；</w:t>
            </w:r>
          </w:p>
          <w:p>
            <w:pPr>
              <w:spacing w:line="360" w:lineRule="auto"/>
              <w:ind w:firstLine="1200" w:firstLineChars="500"/>
              <w:rPr>
                <w:rFonts w:ascii="Times New Roman" w:hAnsi="Times New Roman" w:eastAsia="宋体" w:cs="Times New Roman"/>
                <w:color w:val="auto"/>
                <w:sz w:val="24"/>
              </w:rPr>
            </w:pPr>
            <w:r>
              <w:rPr>
                <w:rFonts w:ascii="Times New Roman" w:hAnsi="Times New Roman" w:eastAsia="宋体" w:cs="Times New Roman"/>
                <w:color w:val="auto"/>
                <w:sz w:val="24"/>
              </w:rPr>
              <w:t>N——室内声源总数。</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在室内近似为扩散声场时，按</w:t>
            </w:r>
            <w:r>
              <w:rPr>
                <w:rFonts w:hint="eastAsia" w:ascii="Times New Roman" w:hAnsi="Times New Roman" w:eastAsia="宋体" w:cs="Times New Roman"/>
                <w:color w:val="auto"/>
                <w:sz w:val="24"/>
              </w:rPr>
              <w:t>下式</w:t>
            </w:r>
            <w:r>
              <w:rPr>
                <w:rFonts w:ascii="Times New Roman" w:hAnsi="Times New Roman" w:eastAsia="宋体" w:cs="Times New Roman"/>
                <w:color w:val="auto"/>
                <w:sz w:val="24"/>
              </w:rPr>
              <w:t>计算出靠近室外围护结构处的声压级：</w:t>
            </w:r>
          </w:p>
          <w:p>
            <w:pPr>
              <w:widowControl/>
              <w:snapToGrid w:val="0"/>
              <w:spacing w:before="60" w:after="160" w:line="259" w:lineRule="auto"/>
              <w:ind w:right="113"/>
              <w:jc w:val="center"/>
              <w:rPr>
                <w:rFonts w:ascii="Times New Roman" w:hAnsi="Times New Roman" w:eastAsia="宋体" w:cs="Times New Roman"/>
                <w:color w:val="auto"/>
                <w:kern w:val="0"/>
                <w:sz w:val="18"/>
                <w:szCs w:val="20"/>
                <w:lang w:val="en-US" w:eastAsia="zh-CN" w:bidi="ar-SA"/>
              </w:rPr>
            </w:pPr>
            <w:r>
              <w:rPr>
                <w:rFonts w:ascii="Times New Roman" w:hAnsi="Times New Roman" w:eastAsia="宋体" w:cs="Times New Roman"/>
                <w:color w:val="auto"/>
                <w:kern w:val="0"/>
                <w:sz w:val="18"/>
                <w:szCs w:val="20"/>
                <w:lang w:val="en-US" w:eastAsia="zh-CN" w:bidi="ar-SA"/>
              </w:rPr>
              <w:drawing>
                <wp:inline distT="0" distB="0" distL="114300" distR="114300">
                  <wp:extent cx="2382520" cy="457200"/>
                  <wp:effectExtent l="0" t="0" r="1778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26"/>
                          <a:srcRect r="47050"/>
                          <a:stretch>
                            <a:fillRect/>
                          </a:stretch>
                        </pic:blipFill>
                        <pic:spPr>
                          <a:xfrm>
                            <a:off x="0" y="0"/>
                            <a:ext cx="2382520" cy="45720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式中：Lp2i(T)——靠近围护结构处室外N个声源i倍频带的叠加声压级，dB；</w:t>
            </w:r>
          </w:p>
          <w:p>
            <w:pPr>
              <w:spacing w:line="360" w:lineRule="auto"/>
              <w:ind w:firstLine="1200" w:firstLineChars="500"/>
              <w:rPr>
                <w:rFonts w:hint="eastAsia" w:ascii="Times New Roman" w:hAnsi="Times New Roman" w:eastAsia="宋体" w:cs="Times New Roman"/>
                <w:color w:val="auto"/>
                <w:sz w:val="24"/>
              </w:rPr>
            </w:pPr>
            <w:r>
              <w:rPr>
                <w:rFonts w:ascii="Times New Roman" w:hAnsi="Times New Roman" w:eastAsia="宋体" w:cs="Times New Roman"/>
                <w:color w:val="auto"/>
                <w:sz w:val="24"/>
              </w:rPr>
              <w:t>Lp1iT——靠近围护结构处室内N个声源i倍频带的叠加声压级，dB；</w:t>
            </w:r>
          </w:p>
          <w:p>
            <w:pPr>
              <w:spacing w:line="360" w:lineRule="auto"/>
              <w:ind w:firstLine="1200" w:firstLineChars="500"/>
              <w:rPr>
                <w:rFonts w:ascii="Times New Roman" w:hAnsi="Times New Roman" w:eastAsia="宋体" w:cs="Times New Roman"/>
                <w:color w:val="auto"/>
                <w:sz w:val="24"/>
              </w:rPr>
            </w:pPr>
            <w:r>
              <w:rPr>
                <w:rFonts w:ascii="Times New Roman" w:hAnsi="Times New Roman" w:eastAsia="宋体" w:cs="Times New Roman"/>
                <w:color w:val="auto"/>
                <w:sz w:val="24"/>
              </w:rPr>
              <w:t>TiL——围护结构i倍频带的隔声量，dB。</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然后按式（B.5）将室外声源的声压级和透过面积换算成等效的室外声源，计算出中心位置位于透声面积（S）处的等效声源的倍频带声功率级。</w:t>
            </w:r>
          </w:p>
          <w:p>
            <w:pPr>
              <w:widowControl/>
              <w:snapToGrid w:val="0"/>
              <w:spacing w:before="60" w:after="160" w:line="360" w:lineRule="auto"/>
              <w:ind w:right="113"/>
              <w:jc w:val="center"/>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drawing>
                <wp:inline distT="0" distB="0" distL="114300" distR="114300">
                  <wp:extent cx="2105025" cy="247650"/>
                  <wp:effectExtent l="0" t="0" r="9525" b="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27"/>
                          <a:stretch>
                            <a:fillRect/>
                          </a:stretch>
                        </pic:blipFill>
                        <pic:spPr>
                          <a:xfrm>
                            <a:off x="0" y="0"/>
                            <a:ext cx="2105025" cy="24765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式中：Lw——中心位置位于透声面积（S）处的等效声源的倍频带声功率级，dB；</w:t>
            </w:r>
          </w:p>
          <w:p>
            <w:pPr>
              <w:spacing w:line="360" w:lineRule="auto"/>
              <w:ind w:firstLine="1200" w:firstLineChars="500"/>
              <w:rPr>
                <w:rFonts w:ascii="Times New Roman" w:hAnsi="Times New Roman" w:eastAsia="宋体" w:cs="Times New Roman"/>
                <w:color w:val="auto"/>
                <w:sz w:val="24"/>
              </w:rPr>
            </w:pPr>
            <w:r>
              <w:rPr>
                <w:rFonts w:ascii="Times New Roman" w:hAnsi="Times New Roman" w:eastAsia="宋体" w:cs="Times New Roman"/>
                <w:color w:val="auto"/>
                <w:sz w:val="24"/>
              </w:rPr>
              <w:t>Lp2(T)——靠近围护结构处室外声源的声压级，dB；</w:t>
            </w:r>
          </w:p>
          <w:p>
            <w:pPr>
              <w:spacing w:line="360" w:lineRule="auto"/>
              <w:ind w:firstLine="1200" w:firstLineChars="500"/>
              <w:rPr>
                <w:rFonts w:ascii="Times New Roman" w:hAnsi="Times New Roman" w:eastAsia="宋体" w:cs="Times New Roman"/>
                <w:color w:val="auto"/>
                <w:sz w:val="24"/>
              </w:rPr>
            </w:pPr>
            <w:r>
              <w:rPr>
                <w:rFonts w:ascii="Times New Roman" w:hAnsi="Times New Roman" w:eastAsia="宋体" w:cs="Times New Roman"/>
                <w:color w:val="auto"/>
                <w:sz w:val="24"/>
              </w:rPr>
              <w:t>S——透声面积，m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z w:val="24"/>
              </w:rPr>
              <w:t>。</w:t>
            </w:r>
          </w:p>
          <w:p>
            <w:pPr>
              <w:widowControl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然后按室外声源预测方法计算预测点处的A声级。</w:t>
            </w:r>
          </w:p>
          <w:p>
            <w:pPr>
              <w:widowControl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室外噪声源可近似视为点声源，根据《环境影响评价技术导则   声环境》（HJ2.4-2021），本次评价采用其中附录A户外声源衰减模式分别计算出每个噪声源对预测点处的源强，然后按照多声源再进行叠加，具体预测模式如下：</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①衰减模式</w:t>
            </w:r>
          </w:p>
          <w:p>
            <w:pPr>
              <w:adjustRightInd w:val="0"/>
              <w:snapToGrid w:val="0"/>
              <w:spacing w:line="360" w:lineRule="auto"/>
              <w:ind w:firstLine="480" w:firstLineChars="200"/>
              <w:jc w:val="center"/>
              <w:rPr>
                <w:rFonts w:ascii="Times New Roman" w:hAnsi="Times New Roman" w:eastAsia="宋体" w:cs="Times New Roman"/>
                <w:color w:val="auto"/>
                <w:sz w:val="24"/>
              </w:rPr>
            </w:pPr>
            <w:r>
              <w:rPr>
                <w:rFonts w:ascii="Times New Roman" w:hAnsi="Times New Roman" w:eastAsia="宋体" w:cs="Times New Roman"/>
                <w:color w:val="auto"/>
                <w:sz w:val="24"/>
              </w:rPr>
              <w:t>L(r)=L(r0)-20log(r/r0)-ΔL；</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式中：L(r)—距噪声源距离为r处等效A声级值，dB(A)；</w:t>
            </w:r>
          </w:p>
          <w:p>
            <w:pPr>
              <w:adjustRightInd w:val="0"/>
              <w:snapToGrid w:val="0"/>
              <w:spacing w:line="360" w:lineRule="auto"/>
              <w:ind w:firstLine="1200" w:firstLineChars="500"/>
              <w:jc w:val="left"/>
              <w:rPr>
                <w:rFonts w:ascii="Times New Roman" w:hAnsi="Times New Roman" w:eastAsia="宋体" w:cs="Times New Roman"/>
                <w:color w:val="auto"/>
                <w:sz w:val="24"/>
              </w:rPr>
            </w:pPr>
            <w:r>
              <w:rPr>
                <w:rFonts w:ascii="Times New Roman" w:hAnsi="Times New Roman" w:eastAsia="宋体" w:cs="Times New Roman"/>
                <w:color w:val="auto"/>
                <w:sz w:val="24"/>
              </w:rPr>
              <w:t>L(r0)—距噪声源距离为r0处等效A声级值，dB(A)；</w:t>
            </w:r>
          </w:p>
          <w:p>
            <w:pPr>
              <w:adjustRightInd w:val="0"/>
              <w:snapToGrid w:val="0"/>
              <w:spacing w:line="360" w:lineRule="auto"/>
              <w:ind w:firstLine="1200" w:firstLineChars="500"/>
              <w:rPr>
                <w:rFonts w:ascii="Times New Roman" w:hAnsi="Times New Roman" w:eastAsia="宋体" w:cs="Times New Roman"/>
                <w:color w:val="auto"/>
                <w:sz w:val="24"/>
              </w:rPr>
            </w:pPr>
            <w:r>
              <w:rPr>
                <w:rFonts w:ascii="Times New Roman" w:hAnsi="Times New Roman" w:eastAsia="宋体" w:cs="Times New Roman"/>
                <w:color w:val="auto"/>
                <w:sz w:val="24"/>
              </w:rPr>
              <w:t>ΔL—各种因素引起的衰减量（包括遮挡物、空气吸收、地面效应等引起的衰减量），dB(A)；本环评不考虑各种因素引起的衰减量，按0计入。</w:t>
            </w:r>
          </w:p>
          <w:p>
            <w:pPr>
              <w:adjustRightInd w:val="0"/>
              <w:snapToGrid w:val="0"/>
              <w:spacing w:line="360" w:lineRule="auto"/>
              <w:ind w:firstLine="1200" w:firstLineChars="500"/>
              <w:rPr>
                <w:rFonts w:ascii="Times New Roman" w:hAnsi="Times New Roman" w:eastAsia="宋体" w:cs="Times New Roman"/>
                <w:color w:val="auto"/>
                <w:sz w:val="24"/>
              </w:rPr>
            </w:pPr>
            <w:r>
              <w:rPr>
                <w:rFonts w:ascii="Times New Roman" w:hAnsi="Times New Roman" w:eastAsia="宋体" w:cs="Times New Roman"/>
                <w:color w:val="auto"/>
                <w:sz w:val="24"/>
              </w:rPr>
              <w:t>r—关心点距噪声源距离，m；</w:t>
            </w:r>
          </w:p>
          <w:p>
            <w:pPr>
              <w:adjustRightInd w:val="0"/>
              <w:snapToGrid w:val="0"/>
              <w:spacing w:line="360" w:lineRule="auto"/>
              <w:ind w:firstLine="1200" w:firstLineChars="500"/>
              <w:rPr>
                <w:rFonts w:ascii="Times New Roman" w:hAnsi="Times New Roman" w:eastAsia="宋体" w:cs="Times New Roman"/>
                <w:color w:val="auto"/>
                <w:sz w:val="24"/>
              </w:rPr>
            </w:pPr>
            <w:r>
              <w:rPr>
                <w:rFonts w:ascii="Times New Roman" w:hAnsi="Times New Roman" w:eastAsia="宋体" w:cs="Times New Roman"/>
                <w:color w:val="auto"/>
                <w:sz w:val="24"/>
              </w:rPr>
              <w:t>r0—参考距离，取1m；</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②多源噪声叠加模式：</w:t>
            </w:r>
          </w:p>
          <w:p>
            <w:pPr>
              <w:adjustRightInd w:val="0"/>
              <w:snapToGrid w:val="0"/>
              <w:spacing w:line="360" w:lineRule="auto"/>
              <w:ind w:firstLine="480" w:firstLineChars="200"/>
              <w:jc w:val="left"/>
              <w:rPr>
                <w:rFonts w:ascii="Times New Roman" w:hAnsi="Times New Roman" w:eastAsia="宋体" w:cs="Times New Roman"/>
                <w:color w:val="auto"/>
                <w:sz w:val="24"/>
              </w:rPr>
            </w:pPr>
            <w:r>
              <w:rPr>
                <w:rFonts w:ascii="Times New Roman" w:hAnsi="Times New Roman" w:eastAsia="宋体" w:cs="Times New Roman"/>
                <w:color w:val="auto"/>
                <w:sz w:val="24"/>
              </w:rPr>
              <w:t>设第i个室外声源在预测点产生的A声级为L</w:t>
            </w:r>
            <w:r>
              <w:rPr>
                <w:rFonts w:ascii="Times New Roman" w:hAnsi="Times New Roman" w:eastAsia="宋体" w:cs="Times New Roman"/>
                <w:color w:val="auto"/>
                <w:sz w:val="24"/>
                <w:vertAlign w:val="subscript"/>
              </w:rPr>
              <w:t>Ai</w:t>
            </w:r>
            <w:r>
              <w:rPr>
                <w:rFonts w:ascii="Times New Roman" w:hAnsi="Times New Roman" w:eastAsia="宋体" w:cs="Times New Roman"/>
                <w:color w:val="auto"/>
                <w:sz w:val="24"/>
              </w:rPr>
              <w:t>，在T时间内该声源工作时间为t</w:t>
            </w:r>
            <w:r>
              <w:rPr>
                <w:rFonts w:ascii="Times New Roman" w:hAnsi="Times New Roman" w:eastAsia="宋体" w:cs="Times New Roman"/>
                <w:color w:val="auto"/>
                <w:sz w:val="24"/>
                <w:vertAlign w:val="subscript"/>
              </w:rPr>
              <w:t>i</w:t>
            </w:r>
            <w:r>
              <w:rPr>
                <w:rFonts w:ascii="Times New Roman" w:hAnsi="Times New Roman" w:eastAsia="宋体" w:cs="Times New Roman"/>
                <w:color w:val="auto"/>
                <w:sz w:val="24"/>
              </w:rPr>
              <w:t>；第j个等效室外声源在预测点产生的A声级为L</w:t>
            </w:r>
            <w:r>
              <w:rPr>
                <w:rFonts w:ascii="Times New Roman" w:hAnsi="Times New Roman" w:eastAsia="宋体" w:cs="Times New Roman"/>
                <w:color w:val="auto"/>
                <w:sz w:val="24"/>
                <w:vertAlign w:val="subscript"/>
              </w:rPr>
              <w:t>Aj</w:t>
            </w:r>
            <w:r>
              <w:rPr>
                <w:rFonts w:ascii="Times New Roman" w:hAnsi="Times New Roman" w:eastAsia="宋体" w:cs="Times New Roman"/>
                <w:color w:val="auto"/>
                <w:sz w:val="24"/>
              </w:rPr>
              <w:t>，在T时间内该声源工作时间为t</w:t>
            </w:r>
            <w:r>
              <w:rPr>
                <w:rFonts w:ascii="Times New Roman" w:hAnsi="Times New Roman" w:eastAsia="宋体" w:cs="Times New Roman"/>
                <w:color w:val="auto"/>
                <w:sz w:val="24"/>
                <w:vertAlign w:val="subscript"/>
              </w:rPr>
              <w:t>j</w:t>
            </w:r>
            <w:r>
              <w:rPr>
                <w:rFonts w:ascii="Times New Roman" w:hAnsi="Times New Roman" w:eastAsia="宋体" w:cs="Times New Roman"/>
                <w:color w:val="auto"/>
                <w:sz w:val="24"/>
              </w:rPr>
              <w:t>，则拟建工程声源对预测点产生的贡献值（L）为：</w:t>
            </w:r>
          </w:p>
          <w:p>
            <w:pPr>
              <w:spacing w:line="360" w:lineRule="auto"/>
              <w:jc w:val="center"/>
              <w:rPr>
                <w:rFonts w:ascii="Times New Roman" w:hAnsi="Times New Roman" w:eastAsia="宋体" w:cs="Times New Roman"/>
                <w:bCs/>
                <w:color w:val="auto"/>
                <w:sz w:val="24"/>
              </w:rPr>
            </w:pPr>
            <w:r>
              <w:rPr>
                <w:rFonts w:ascii="Times New Roman" w:hAnsi="Times New Roman" w:eastAsia="宋体" w:cs="Times New Roman"/>
                <w:bCs/>
                <w:color w:val="auto"/>
                <w:sz w:val="24"/>
              </w:rPr>
              <w:object>
                <v:shape id="_x0000_i1031" o:spt="75" type="#_x0000_t75" style="height:41pt;width:210.75pt;" o:ole="t" filled="f" o:preferrelative="t" stroked="f" coordsize="21600,21600">
                  <v:path/>
                  <v:fill on="f" focussize="0,0"/>
                  <v:stroke on="f"/>
                  <v:imagedata r:id="rId29" o:title=""/>
                  <o:lock v:ext="edit" aspectratio="t"/>
                  <w10:wrap type="none"/>
                  <w10:anchorlock/>
                </v:shape>
                <o:OLEObject Type="Embed" ProgID="Equation.3" ShapeID="_x0000_i1031" DrawAspect="Content" ObjectID="_1468075731" r:id="rId28">
                  <o:LockedField>false</o:LockedField>
                </o:OLEObject>
              </w:objec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式中：</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tj——在T时间内j声源工作时间，s；</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ti——在T时间内i声源工作时间，s；</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T——用于计算等效声级的时间，s；</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N——室外声源个数；</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M——等效室外声源个数；</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通过上述预测模式，在采取措施后预测出项目声源在项目边界的噪声值，</w:t>
            </w:r>
            <w:r>
              <w:rPr>
                <w:rFonts w:hint="default" w:ascii="Times New Roman" w:hAnsi="Times New Roman" w:eastAsia="宋体" w:cs="Times New Roman"/>
                <w:color w:val="auto"/>
                <w:kern w:val="2"/>
                <w:sz w:val="24"/>
                <w:szCs w:val="24"/>
                <w:lang w:val="en-US" w:eastAsia="zh-CN" w:bidi="ar-SA"/>
              </w:rPr>
              <w:t>本项目噪声在厂界达标分析见表4-1</w:t>
            </w:r>
            <w:r>
              <w:rPr>
                <w:rFonts w:hint="eastAsia" w:cs="Times New Roman"/>
                <w:color w:val="auto"/>
                <w:kern w:val="2"/>
                <w:sz w:val="24"/>
                <w:szCs w:val="24"/>
                <w:lang w:val="en-US" w:eastAsia="zh-CN" w:bidi="ar-SA"/>
              </w:rPr>
              <w:t>7</w:t>
            </w:r>
            <w:r>
              <w:rPr>
                <w:rFonts w:hint="default" w:ascii="Times New Roman" w:hAnsi="Times New Roman" w:eastAsia="宋体" w:cs="Times New Roman"/>
                <w:color w:val="auto"/>
                <w:kern w:val="2"/>
                <w:sz w:val="24"/>
                <w:szCs w:val="24"/>
                <w:lang w:val="en-US" w:eastAsia="zh-CN" w:bidi="ar-SA"/>
              </w:rPr>
              <w:t>。</w:t>
            </w:r>
          </w:p>
          <w:p>
            <w:pPr>
              <w:widowControl w:val="0"/>
              <w:autoSpaceDE w:val="0"/>
              <w:autoSpaceDN w:val="0"/>
              <w:adjustRightInd w:val="0"/>
              <w:snapToGrid w:val="0"/>
              <w:spacing w:beforeLines="0" w:afterLines="0" w:line="360" w:lineRule="auto"/>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表4-1</w:t>
            </w:r>
            <w:r>
              <w:rPr>
                <w:rFonts w:hint="eastAsia" w:cs="Times New Roman"/>
                <w:b/>
                <w:bCs/>
                <w:color w:val="auto"/>
                <w:kern w:val="2"/>
                <w:sz w:val="24"/>
                <w:szCs w:val="24"/>
                <w:highlight w:val="none"/>
                <w:lang w:val="en-US" w:eastAsia="zh-CN" w:bidi="ar-SA"/>
              </w:rPr>
              <w:t>7</w:t>
            </w:r>
            <w:r>
              <w:rPr>
                <w:rFonts w:hint="default" w:ascii="Times New Roman" w:hAnsi="Times New Roman" w:eastAsia="宋体" w:cs="Times New Roman"/>
                <w:b/>
                <w:bCs/>
                <w:color w:val="auto"/>
                <w:kern w:val="2"/>
                <w:sz w:val="24"/>
                <w:szCs w:val="24"/>
                <w:highlight w:val="none"/>
                <w:lang w:val="en-US" w:eastAsia="zh-CN" w:bidi="ar-SA"/>
              </w:rPr>
              <w:t xml:space="preserve">  厂界噪声达标分析</w:t>
            </w:r>
          </w:p>
          <w:tbl>
            <w:tblPr>
              <w:tblStyle w:val="25"/>
              <w:tblW w:w="767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109"/>
              <w:gridCol w:w="1366"/>
              <w:gridCol w:w="1535"/>
              <w:gridCol w:w="15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26" w:type="dxa"/>
                  <w:vMerge w:val="restart"/>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厂界名称</w:t>
                  </w:r>
                </w:p>
              </w:tc>
              <w:tc>
                <w:tcPr>
                  <w:tcW w:w="5544" w:type="dxa"/>
                  <w:gridSpan w:val="4"/>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项目运行阶段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26" w:type="dxa"/>
                  <w:vMerge w:val="continue"/>
                  <w:noWrap w:val="0"/>
                  <w:vAlign w:val="center"/>
                </w:tcPr>
                <w:p>
                  <w:pPr>
                    <w:pStyle w:val="32"/>
                    <w:bidi w:val="0"/>
                    <w:rPr>
                      <w:rFonts w:hint="default" w:ascii="Times New Roman" w:hAnsi="Times New Roman" w:eastAsia="宋体" w:cs="Times New Roman"/>
                      <w:color w:val="auto"/>
                      <w:lang w:eastAsia="zh-CN"/>
                    </w:rPr>
                  </w:pPr>
                </w:p>
              </w:tc>
              <w:tc>
                <w:tcPr>
                  <w:tcW w:w="1109" w:type="dxa"/>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时段</w:t>
                  </w:r>
                </w:p>
              </w:tc>
              <w:tc>
                <w:tcPr>
                  <w:tcW w:w="1366" w:type="dxa"/>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贡献值</w:t>
                  </w:r>
                </w:p>
              </w:tc>
              <w:tc>
                <w:tcPr>
                  <w:tcW w:w="1535" w:type="dxa"/>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标准值</w:t>
                  </w:r>
                </w:p>
              </w:tc>
              <w:tc>
                <w:tcPr>
                  <w:tcW w:w="1534" w:type="dxa"/>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是否达标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26"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东厂界</w:t>
                  </w:r>
                </w:p>
              </w:tc>
              <w:tc>
                <w:tcPr>
                  <w:tcW w:w="1109" w:type="dxa"/>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昼间</w:t>
                  </w:r>
                </w:p>
              </w:tc>
              <w:tc>
                <w:tcPr>
                  <w:tcW w:w="1366" w:type="dxa"/>
                  <w:noWrap w:val="0"/>
                  <w:vAlign w:val="center"/>
                </w:tcPr>
                <w:p>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48</w:t>
                  </w:r>
                </w:p>
              </w:tc>
              <w:tc>
                <w:tcPr>
                  <w:tcW w:w="153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65</w:t>
                  </w:r>
                </w:p>
              </w:tc>
              <w:tc>
                <w:tcPr>
                  <w:tcW w:w="1534" w:type="dxa"/>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26"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北厂界</w:t>
                  </w:r>
                </w:p>
              </w:tc>
              <w:tc>
                <w:tcPr>
                  <w:tcW w:w="1109" w:type="dxa"/>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昼间</w:t>
                  </w:r>
                </w:p>
              </w:tc>
              <w:tc>
                <w:tcPr>
                  <w:tcW w:w="1366" w:type="dxa"/>
                  <w:noWrap w:val="0"/>
                  <w:vAlign w:val="center"/>
                </w:tcPr>
                <w:p>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56</w:t>
                  </w:r>
                </w:p>
              </w:tc>
              <w:tc>
                <w:tcPr>
                  <w:tcW w:w="153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65</w:t>
                  </w:r>
                </w:p>
              </w:tc>
              <w:tc>
                <w:tcPr>
                  <w:tcW w:w="1534" w:type="dxa"/>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26"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西厂界</w:t>
                  </w:r>
                </w:p>
              </w:tc>
              <w:tc>
                <w:tcPr>
                  <w:tcW w:w="1109" w:type="dxa"/>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昼间</w:t>
                  </w:r>
                </w:p>
              </w:tc>
              <w:tc>
                <w:tcPr>
                  <w:tcW w:w="1366" w:type="dxa"/>
                  <w:noWrap w:val="0"/>
                  <w:vAlign w:val="center"/>
                </w:tcPr>
                <w:p>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51</w:t>
                  </w:r>
                </w:p>
              </w:tc>
              <w:tc>
                <w:tcPr>
                  <w:tcW w:w="153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65</w:t>
                  </w:r>
                </w:p>
              </w:tc>
              <w:tc>
                <w:tcPr>
                  <w:tcW w:w="1534" w:type="dxa"/>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2126"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南厂界</w:t>
                  </w:r>
                </w:p>
              </w:tc>
              <w:tc>
                <w:tcPr>
                  <w:tcW w:w="1109" w:type="dxa"/>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昼间</w:t>
                  </w:r>
                </w:p>
              </w:tc>
              <w:tc>
                <w:tcPr>
                  <w:tcW w:w="1366" w:type="dxa"/>
                  <w:noWrap w:val="0"/>
                  <w:vAlign w:val="center"/>
                </w:tcPr>
                <w:p>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49</w:t>
                  </w:r>
                </w:p>
              </w:tc>
              <w:tc>
                <w:tcPr>
                  <w:tcW w:w="153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65</w:t>
                  </w:r>
                </w:p>
              </w:tc>
              <w:tc>
                <w:tcPr>
                  <w:tcW w:w="1534" w:type="dxa"/>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达标</w:t>
                  </w:r>
                </w:p>
              </w:tc>
            </w:tr>
          </w:tbl>
          <w:p>
            <w:pPr>
              <w:adjustRightInd w:val="0"/>
              <w:snapToGrid w:val="0"/>
              <w:spacing w:before="120" w:beforeLines="5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本项目周边</w:t>
            </w:r>
            <w:r>
              <w:rPr>
                <w:rFonts w:hint="eastAsia"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m范围内无敏感点，项目不在夜间运行，由上表结果可知，本项目运营期</w:t>
            </w:r>
            <w:r>
              <w:rPr>
                <w:rFonts w:hint="default" w:ascii="Times New Roman" w:hAnsi="Times New Roman" w:eastAsia="宋体" w:cs="Times New Roman"/>
                <w:color w:val="auto"/>
                <w:sz w:val="24"/>
                <w:szCs w:val="24"/>
                <w:highlight w:val="none"/>
                <w:lang w:eastAsia="zh-CN"/>
              </w:rPr>
              <w:t>工业场地厂界</w:t>
            </w:r>
            <w:r>
              <w:rPr>
                <w:rFonts w:hint="default" w:ascii="Times New Roman" w:hAnsi="Times New Roman" w:eastAsia="宋体" w:cs="Times New Roman"/>
                <w:color w:val="auto"/>
                <w:sz w:val="24"/>
                <w:szCs w:val="24"/>
                <w:highlight w:val="none"/>
              </w:rPr>
              <w:t>噪声昼间的贡献值均满足《工业企业厂界环境噪声排放标准》（GB12348-2008）的</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类标准，对周边环境影响不大。</w:t>
            </w:r>
          </w:p>
          <w:p>
            <w:pPr>
              <w:widowControl w:val="0"/>
              <w:spacing w:line="360" w:lineRule="auto"/>
              <w:ind w:firstLine="480" w:firstLineChars="200"/>
              <w:jc w:val="both"/>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2.2</w:t>
            </w:r>
            <w:r>
              <w:rPr>
                <w:rFonts w:hint="default" w:ascii="Times New Roman" w:hAnsi="Times New Roman" w:eastAsia="宋体" w:cs="Times New Roman"/>
                <w:b w:val="0"/>
                <w:bCs w:val="0"/>
                <w:color w:val="auto"/>
                <w:kern w:val="0"/>
                <w:sz w:val="24"/>
                <w:szCs w:val="20"/>
                <w:lang w:val="en-US" w:eastAsia="zh-CN" w:bidi="ar-SA"/>
              </w:rPr>
              <w:t>噪声</w:t>
            </w:r>
            <w:r>
              <w:rPr>
                <w:rFonts w:hint="default" w:ascii="Times New Roman" w:hAnsi="Times New Roman" w:eastAsia="宋体" w:cs="Times New Roman"/>
                <w:b w:val="0"/>
                <w:bCs w:val="0"/>
                <w:color w:val="auto"/>
                <w:kern w:val="0"/>
                <w:sz w:val="24"/>
                <w:szCs w:val="24"/>
                <w:highlight w:val="none"/>
                <w:lang w:val="en-US" w:eastAsia="zh-CN" w:bidi="ar-SA"/>
              </w:rPr>
              <w:t>监测计划</w:t>
            </w:r>
          </w:p>
          <w:p>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eastAsia="zh-CN"/>
              </w:rPr>
              <w:t>根据</w:t>
            </w:r>
            <w:r>
              <w:rPr>
                <w:rFonts w:hint="default" w:ascii="Times New Roman" w:hAnsi="Times New Roman" w:eastAsia="宋体" w:cs="Times New Roman"/>
                <w:color w:val="auto"/>
                <w:kern w:val="0"/>
                <w:sz w:val="24"/>
              </w:rPr>
              <w:t>《排污单位自行监测技术指南  总则》(HJ819-2017)，结合本项目实际情况，项目运营期噪声监测计划见表4-</w:t>
            </w:r>
            <w:r>
              <w:rPr>
                <w:rFonts w:hint="default" w:ascii="Times New Roman" w:hAnsi="Times New Roman" w:eastAsia="宋体" w:cs="Times New Roman"/>
                <w:color w:val="auto"/>
                <w:kern w:val="0"/>
                <w:sz w:val="24"/>
                <w:lang w:val="en-US" w:eastAsia="zh-CN"/>
              </w:rPr>
              <w:t>1</w:t>
            </w:r>
            <w:r>
              <w:rPr>
                <w:rFonts w:hint="eastAsia" w:cs="Times New Roman"/>
                <w:color w:val="auto"/>
                <w:kern w:val="0"/>
                <w:sz w:val="24"/>
                <w:lang w:val="en-US" w:eastAsia="zh-CN"/>
              </w:rPr>
              <w:t>8</w:t>
            </w:r>
            <w:r>
              <w:rPr>
                <w:rFonts w:hint="default" w:ascii="Times New Roman" w:hAnsi="Times New Roman" w:eastAsia="宋体" w:cs="Times New Roman"/>
                <w:color w:val="auto"/>
                <w:kern w:val="0"/>
                <w:sz w:val="24"/>
              </w:rPr>
              <w:t>。</w:t>
            </w:r>
          </w:p>
          <w:p>
            <w:pPr>
              <w:widowControl w:val="0"/>
              <w:autoSpaceDE w:val="0"/>
              <w:autoSpaceDN w:val="0"/>
              <w:adjustRightInd w:val="0"/>
              <w:spacing w:line="360" w:lineRule="auto"/>
              <w:jc w:val="center"/>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表4-1</w:t>
            </w:r>
            <w:r>
              <w:rPr>
                <w:rFonts w:hint="eastAsia" w:cs="Times New Roman"/>
                <w:b/>
                <w:color w:val="auto"/>
                <w:kern w:val="2"/>
                <w:sz w:val="24"/>
                <w:szCs w:val="24"/>
                <w:lang w:val="en-US" w:eastAsia="zh-CN" w:bidi="ar-SA"/>
              </w:rPr>
              <w:t>8</w:t>
            </w:r>
            <w:r>
              <w:rPr>
                <w:rFonts w:hint="default" w:ascii="Times New Roman" w:hAnsi="Times New Roman" w:eastAsia="宋体" w:cs="Times New Roman"/>
                <w:b/>
                <w:color w:val="auto"/>
                <w:kern w:val="2"/>
                <w:sz w:val="24"/>
                <w:szCs w:val="24"/>
                <w:lang w:val="en-US" w:eastAsia="zh-CN" w:bidi="ar-SA"/>
              </w:rPr>
              <w:t xml:space="preserve">  运营期噪声监测计划表</w:t>
            </w:r>
          </w:p>
          <w:tbl>
            <w:tblPr>
              <w:tblStyle w:val="25"/>
              <w:tblW w:w="767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82"/>
              <w:gridCol w:w="1635"/>
              <w:gridCol w:w="1471"/>
              <w:gridCol w:w="29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582" w:type="dxa"/>
                  <w:tcBorders>
                    <w:top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635" w:type="dxa"/>
                  <w:tcBorders>
                    <w:top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1471" w:type="dxa"/>
                  <w:tcBorders>
                    <w:top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2982" w:type="dxa"/>
                  <w:tcBorders>
                    <w:top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trPr>
              <w:tc>
                <w:tcPr>
                  <w:tcW w:w="1582" w:type="dxa"/>
                  <w:tcBorders>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厂界四周</w:t>
                  </w:r>
                </w:p>
              </w:tc>
              <w:tc>
                <w:tcPr>
                  <w:tcW w:w="1635" w:type="dxa"/>
                  <w:tcBorders>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r>
                    <w:rPr>
                      <w:rFonts w:hint="default" w:ascii="Times New Roman" w:hAnsi="Times New Roman" w:eastAsia="宋体" w:cs="Times New Roman"/>
                      <w:color w:val="auto"/>
                      <w:sz w:val="21"/>
                      <w:szCs w:val="21"/>
                    </w:rPr>
                    <w:t>等效A声级</w:t>
                  </w:r>
                </w:p>
              </w:tc>
              <w:tc>
                <w:tcPr>
                  <w:tcW w:w="1471" w:type="dxa"/>
                  <w:tcBorders>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1次/季度</w:t>
                  </w:r>
                </w:p>
              </w:tc>
              <w:tc>
                <w:tcPr>
                  <w:tcW w:w="2982" w:type="dxa"/>
                  <w:tcBorders>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《工业企业厂界环境噪声排放标准》(GB12348-2008)中</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类标准</w:t>
                  </w:r>
                </w:p>
              </w:tc>
            </w:tr>
          </w:tbl>
          <w:p>
            <w:pPr>
              <w:adjustRightInd w:val="0"/>
              <w:snapToGrid w:val="0"/>
              <w:spacing w:before="120" w:beforeLines="50" w:line="360" w:lineRule="auto"/>
              <w:ind w:firstLine="482" w:firstLineChars="20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四、固体废物</w:t>
            </w:r>
          </w:p>
          <w:p>
            <w:pPr>
              <w:pStyle w:val="45"/>
              <w:adjustRightInd w:val="0"/>
              <w:snapToGrid w:val="0"/>
              <w:spacing w:after="0" w:afterLines="-2147483648" w:afterAutospacing="0"/>
              <w:ind w:left="0" w:leftChars="0" w:firstLine="42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项目一期</w:t>
            </w:r>
            <w:r>
              <w:rPr>
                <w:rFonts w:hint="default" w:ascii="Times New Roman" w:hAnsi="Times New Roman" w:eastAsia="宋体" w:cs="Times New Roman"/>
                <w:color w:val="auto"/>
                <w:sz w:val="24"/>
                <w:szCs w:val="24"/>
                <w:highlight w:val="none"/>
                <w:lang w:eastAsia="zh-CN"/>
              </w:rPr>
              <w:t>运营</w:t>
            </w:r>
            <w:r>
              <w:rPr>
                <w:rFonts w:hint="default" w:ascii="Times New Roman" w:hAnsi="Times New Roman" w:eastAsia="宋体" w:cs="Times New Roman"/>
                <w:color w:val="auto"/>
                <w:sz w:val="24"/>
                <w:szCs w:val="24"/>
                <w:highlight w:val="none"/>
              </w:rPr>
              <w:t>期项目产生的固废为：S1</w:t>
            </w:r>
            <w:r>
              <w:rPr>
                <w:rFonts w:hint="default" w:ascii="Times New Roman" w:hAnsi="Times New Roman" w:eastAsia="宋体" w:cs="Times New Roman"/>
                <w:color w:val="auto"/>
                <w:sz w:val="24"/>
                <w:szCs w:val="24"/>
                <w:highlight w:val="none"/>
                <w:lang w:eastAsia="zh-CN"/>
              </w:rPr>
              <w:t>生活垃圾、</w:t>
            </w:r>
            <w:r>
              <w:rPr>
                <w:rFonts w:hint="default" w:ascii="Times New Roman" w:hAnsi="Times New Roman" w:eastAsia="宋体" w:cs="Times New Roman"/>
                <w:color w:val="auto"/>
                <w:sz w:val="24"/>
                <w:szCs w:val="24"/>
                <w:highlight w:val="none"/>
                <w:lang w:val="en-US" w:eastAsia="zh-CN"/>
              </w:rPr>
              <w:t>S2分拣杂质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S</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、过滤废渣、S</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污泥、S</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废包装材料、S</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不合格产品、S</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纯水设备更换的滤芯。</w:t>
            </w:r>
          </w:p>
          <w:p>
            <w:pPr>
              <w:pStyle w:val="45"/>
              <w:adjustRightInd w:val="0"/>
              <w:snapToGrid w:val="0"/>
              <w:spacing w:after="0" w:afterLines="-2147483648" w:afterAutospacing="0"/>
              <w:ind w:left="0" w:leftChars="0" w:firstLine="422"/>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1、S1生活垃圾</w:t>
            </w:r>
          </w:p>
          <w:p>
            <w:pPr>
              <w:pStyle w:val="45"/>
              <w:adjustRightInd w:val="0"/>
              <w:snapToGrid w:val="0"/>
              <w:spacing w:after="0" w:afterLines="-2147483648" w:afterAutospacing="0"/>
              <w:ind w:left="0" w:leftChars="0" w:firstLine="42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本项目劳动定员</w:t>
            </w:r>
            <w:r>
              <w:rPr>
                <w:rFonts w:hint="default" w:ascii="Times New Roman" w:hAnsi="Times New Roman" w:eastAsia="宋体" w:cs="Times New Roman"/>
                <w:b w:val="0"/>
                <w:bCs w:val="0"/>
                <w:color w:val="auto"/>
                <w:sz w:val="24"/>
                <w:szCs w:val="24"/>
                <w:highlight w:val="none"/>
                <w:lang w:val="en-US" w:eastAsia="zh-CN"/>
              </w:rPr>
              <w:t>75</w:t>
            </w:r>
            <w:r>
              <w:rPr>
                <w:rFonts w:hint="default" w:ascii="Times New Roman" w:hAnsi="Times New Roman" w:eastAsia="宋体" w:cs="Times New Roman"/>
                <w:b w:val="0"/>
                <w:bCs w:val="0"/>
                <w:color w:val="auto"/>
                <w:sz w:val="24"/>
                <w:szCs w:val="24"/>
                <w:highlight w:val="none"/>
              </w:rPr>
              <w:t>人，生活垃圾产生量按每人0.5kg/d计算，则生活垃圾产生量为</w:t>
            </w:r>
            <w:r>
              <w:rPr>
                <w:rFonts w:hint="default" w:ascii="Times New Roman" w:hAnsi="Times New Roman" w:eastAsia="宋体" w:cs="Times New Roman"/>
                <w:b w:val="0"/>
                <w:bCs w:val="0"/>
                <w:color w:val="auto"/>
                <w:sz w:val="24"/>
                <w:szCs w:val="24"/>
                <w:highlight w:val="none"/>
                <w:lang w:val="en-US" w:eastAsia="zh-CN"/>
              </w:rPr>
              <w:t>37.5</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13.4</w:t>
            </w:r>
            <w:r>
              <w:rPr>
                <w:rFonts w:hint="default" w:ascii="Times New Roman" w:hAnsi="Times New Roman" w:eastAsia="宋体" w:cs="Times New Roman"/>
                <w:b w:val="0"/>
                <w:bCs w:val="0"/>
                <w:color w:val="auto"/>
                <w:sz w:val="24"/>
                <w:szCs w:val="24"/>
                <w:highlight w:val="none"/>
              </w:rPr>
              <w:t>t/a）。生活垃圾经收集桶收集后</w:t>
            </w:r>
            <w:r>
              <w:rPr>
                <w:rFonts w:hint="default" w:ascii="Times New Roman" w:hAnsi="Times New Roman" w:eastAsia="宋体" w:cs="Times New Roman"/>
                <w:b w:val="0"/>
                <w:bCs w:val="0"/>
                <w:color w:val="auto"/>
                <w:sz w:val="24"/>
                <w:szCs w:val="24"/>
                <w:highlight w:val="none"/>
                <w:lang w:val="en-US" w:eastAsia="zh-CN"/>
              </w:rPr>
              <w:t>交园区</w:t>
            </w:r>
            <w:r>
              <w:rPr>
                <w:rFonts w:hint="default" w:ascii="Times New Roman" w:hAnsi="Times New Roman" w:eastAsia="宋体" w:cs="Times New Roman"/>
                <w:b w:val="0"/>
                <w:bCs w:val="0"/>
                <w:color w:val="auto"/>
                <w:sz w:val="24"/>
                <w:szCs w:val="24"/>
                <w:highlight w:val="none"/>
              </w:rPr>
              <w:t>环卫</w:t>
            </w:r>
            <w:r>
              <w:rPr>
                <w:rFonts w:hint="default" w:ascii="Times New Roman" w:hAnsi="Times New Roman" w:eastAsia="宋体" w:cs="Times New Roman"/>
                <w:b w:val="0"/>
                <w:bCs w:val="0"/>
                <w:color w:val="auto"/>
                <w:sz w:val="24"/>
                <w:szCs w:val="24"/>
                <w:highlight w:val="none"/>
                <w:lang w:val="en-US" w:eastAsia="zh-CN"/>
              </w:rPr>
              <w:t>处置</w:t>
            </w:r>
            <w:r>
              <w:rPr>
                <w:rFonts w:hint="default" w:ascii="Times New Roman" w:hAnsi="Times New Roman" w:eastAsia="宋体" w:cs="Times New Roman"/>
                <w:b w:val="0"/>
                <w:bCs w:val="0"/>
                <w:color w:val="auto"/>
                <w:sz w:val="24"/>
                <w:szCs w:val="24"/>
                <w:highlight w:val="none"/>
              </w:rPr>
              <w:t>。</w:t>
            </w:r>
          </w:p>
          <w:p>
            <w:pPr>
              <w:pStyle w:val="45"/>
              <w:adjustRightInd w:val="0"/>
              <w:snapToGrid w:val="0"/>
              <w:spacing w:after="0" w:afterLines="-2147483648" w:afterAutospacing="0"/>
              <w:ind w:left="0" w:leftChars="0" w:firstLine="420"/>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szCs w:val="24"/>
                <w:highlight w:val="none"/>
                <w:lang w:val="en-US" w:eastAsia="zh-CN"/>
              </w:rPr>
              <w:t>2</w:t>
            </w:r>
            <w:r>
              <w:rPr>
                <w:rFonts w:hint="default" w:ascii="Times New Roman" w:hAnsi="Times New Roman" w:eastAsia="宋体" w:cs="Times New Roman"/>
                <w:b w:val="0"/>
                <w:bCs w:val="0"/>
                <w:color w:val="auto"/>
                <w:szCs w:val="24"/>
                <w:highlight w:val="none"/>
                <w:lang w:val="en-US" w:eastAsia="zh-CN"/>
              </w:rPr>
              <w:t>、分拣杂质</w:t>
            </w:r>
          </w:p>
          <w:p>
            <w:pPr>
              <w:adjustRightInd w:val="0"/>
              <w:snapToGrid w:val="0"/>
              <w:spacing w:line="360" w:lineRule="auto"/>
              <w:ind w:firstLine="496" w:firstLineChars="200"/>
              <w:rPr>
                <w:rFonts w:hint="default" w:ascii="Times New Roman" w:hAnsi="Times New Roman" w:eastAsia="宋体" w:cs="Times New Roman"/>
                <w:b w:val="0"/>
                <w:bCs w:val="0"/>
                <w:color w:val="auto"/>
                <w:spacing w:val="4"/>
                <w:sz w:val="24"/>
                <w:szCs w:val="24"/>
                <w:highlight w:val="none"/>
                <w:lang w:val="en-US" w:eastAsia="zh-CN"/>
              </w:rPr>
            </w:pPr>
            <w:r>
              <w:rPr>
                <w:rFonts w:hint="default" w:ascii="Times New Roman" w:hAnsi="Times New Roman" w:eastAsia="宋体" w:cs="Times New Roman"/>
                <w:b w:val="0"/>
                <w:bCs w:val="0"/>
                <w:color w:val="auto"/>
                <w:spacing w:val="4"/>
                <w:sz w:val="24"/>
                <w:szCs w:val="24"/>
                <w:highlight w:val="none"/>
                <w:lang w:val="en-US" w:eastAsia="zh-CN"/>
              </w:rPr>
              <w:t>项目蔬菜挑拣工序会产生一些菜叶及野草，根据建设单位提供的资料，分拣杂质约占蔬菜原料的5‰，项目原料量约为3748.5t/a，则废菜叶产生量为18.7t/a。收集在加盖塑料桶中，每日交附近村民作为牛羊饲料。</w:t>
            </w:r>
          </w:p>
          <w:p>
            <w:pPr>
              <w:adjustRightInd w:val="0"/>
              <w:snapToGrid w:val="0"/>
              <w:spacing w:line="360" w:lineRule="auto"/>
              <w:ind w:firstLine="496" w:firstLineChars="200"/>
              <w:rPr>
                <w:rFonts w:hint="default" w:ascii="Times New Roman" w:hAnsi="Times New Roman" w:eastAsia="宋体" w:cs="Times New Roman"/>
                <w:b w:val="0"/>
                <w:bCs w:val="0"/>
                <w:color w:val="auto"/>
                <w:spacing w:val="4"/>
                <w:sz w:val="24"/>
                <w:szCs w:val="24"/>
                <w:highlight w:val="none"/>
                <w:lang w:val="en-US" w:eastAsia="zh-CN"/>
              </w:rPr>
            </w:pPr>
            <w:r>
              <w:rPr>
                <w:rFonts w:hint="eastAsia" w:cs="Times New Roman"/>
                <w:b w:val="0"/>
                <w:bCs w:val="0"/>
                <w:color w:val="auto"/>
                <w:spacing w:val="4"/>
                <w:sz w:val="24"/>
                <w:szCs w:val="24"/>
                <w:highlight w:val="none"/>
                <w:lang w:val="en-US" w:eastAsia="zh-CN"/>
              </w:rPr>
              <w:t>3</w:t>
            </w:r>
            <w:r>
              <w:rPr>
                <w:rFonts w:hint="default" w:ascii="Times New Roman" w:hAnsi="Times New Roman" w:eastAsia="宋体" w:cs="Times New Roman"/>
                <w:b w:val="0"/>
                <w:bCs w:val="0"/>
                <w:color w:val="auto"/>
                <w:spacing w:val="4"/>
                <w:sz w:val="24"/>
                <w:szCs w:val="24"/>
                <w:highlight w:val="none"/>
                <w:lang w:val="en-US" w:eastAsia="zh-CN"/>
              </w:rPr>
              <w:t>、过滤杂质</w:t>
            </w:r>
          </w:p>
          <w:p>
            <w:pPr>
              <w:adjustRightInd w:val="0"/>
              <w:snapToGrid w:val="0"/>
              <w:spacing w:line="360" w:lineRule="auto"/>
              <w:ind w:firstLine="496" w:firstLineChars="200"/>
              <w:rPr>
                <w:rFonts w:hint="default" w:ascii="Times New Roman" w:hAnsi="Times New Roman" w:eastAsia="宋体" w:cs="Times New Roman"/>
                <w:color w:val="auto"/>
                <w:spacing w:val="4"/>
                <w:sz w:val="24"/>
                <w:szCs w:val="24"/>
                <w:highlight w:val="none"/>
                <w:lang w:val="en-US" w:eastAsia="zh-CN"/>
              </w:rPr>
            </w:pPr>
            <w:r>
              <w:rPr>
                <w:rFonts w:hint="default" w:ascii="Times New Roman" w:hAnsi="Times New Roman" w:eastAsia="宋体" w:cs="Times New Roman"/>
                <w:color w:val="auto"/>
                <w:spacing w:val="4"/>
                <w:sz w:val="24"/>
                <w:szCs w:val="24"/>
                <w:highlight w:val="none"/>
                <w:lang w:val="en-US" w:eastAsia="zh-CN"/>
              </w:rPr>
              <w:t>项目浆水原液过滤时会有少量的废滤渣产生，产生量约0.36t/a，滤渣主要为菜渣、少量的面渣等，经甩干机处理后水分残留较少，带盖容器收集后每日交附近村民作为牛羊饲料。</w:t>
            </w:r>
          </w:p>
          <w:p>
            <w:pPr>
              <w:bidi w:val="0"/>
              <w:ind w:firstLine="480" w:firstLineChars="20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eastAsia="zh-CN"/>
              </w:rPr>
              <w:t>、污泥</w:t>
            </w:r>
          </w:p>
          <w:p>
            <w:pPr>
              <w:bidi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b w:val="0"/>
                <w:bCs w:val="0"/>
                <w:color w:val="auto"/>
                <w:sz w:val="24"/>
                <w:szCs w:val="24"/>
                <w:highlight w:val="none"/>
                <w:lang w:val="en-US" w:eastAsia="zh-CN"/>
              </w:rPr>
              <w:t>生产</w:t>
            </w:r>
            <w:r>
              <w:rPr>
                <w:rStyle w:val="30"/>
                <w:rFonts w:hint="default" w:ascii="Times New Roman" w:hAnsi="Times New Roman" w:eastAsia="宋体" w:cs="Times New Roman"/>
                <w:color w:val="auto"/>
                <w:kern w:val="0"/>
                <w:sz w:val="24"/>
                <w:szCs w:val="24"/>
                <w:highlight w:val="none"/>
                <w:lang w:val="en-US" w:eastAsia="zh-CN" w:bidi="ar-SA"/>
              </w:rPr>
              <w:t>废水</w:t>
            </w:r>
            <w:r>
              <w:rPr>
                <w:rFonts w:hint="default" w:ascii="Times New Roman" w:hAnsi="Times New Roman" w:eastAsia="宋体" w:cs="Times New Roman"/>
                <w:color w:val="auto"/>
                <w:highlight w:val="none"/>
                <w:lang w:val="en-US" w:eastAsia="zh-CN"/>
              </w:rPr>
              <w:t>经设置的地埋一体式污水处理设备处理，运行的过程中</w:t>
            </w:r>
            <w:r>
              <w:rPr>
                <w:rFonts w:hint="default" w:ascii="Times New Roman" w:hAnsi="Times New Roman" w:eastAsia="宋体" w:cs="Times New Roman"/>
                <w:color w:val="auto"/>
                <w:highlight w:val="none"/>
              </w:rPr>
              <w:t>产生的</w:t>
            </w:r>
            <w:r>
              <w:rPr>
                <w:rFonts w:hint="default" w:ascii="Times New Roman" w:hAnsi="Times New Roman" w:eastAsia="宋体" w:cs="Times New Roman"/>
                <w:color w:val="auto"/>
                <w:highlight w:val="none"/>
                <w:lang w:val="en-US" w:eastAsia="zh-CN"/>
              </w:rPr>
              <w:t>污泥量</w:t>
            </w:r>
            <w:r>
              <w:rPr>
                <w:rFonts w:hint="default" w:ascii="Times New Roman" w:hAnsi="Times New Roman" w:eastAsia="宋体" w:cs="Times New Roman"/>
                <w:color w:val="auto"/>
                <w:highlight w:val="none"/>
              </w:rPr>
              <w:t>为处理的SS量，</w:t>
            </w:r>
            <w:r>
              <w:rPr>
                <w:rFonts w:hint="default" w:ascii="Times New Roman" w:hAnsi="Times New Roman" w:eastAsia="宋体" w:cs="Times New Roman"/>
                <w:color w:val="auto"/>
                <w:highlight w:val="none"/>
                <w:lang w:val="en-US" w:eastAsia="zh-CN"/>
              </w:rPr>
              <w:t>根据前文估算，去除的SS的量为</w:t>
            </w:r>
            <w:r>
              <w:rPr>
                <w:rFonts w:hint="eastAsia" w:cs="Times New Roman"/>
                <w:color w:val="auto"/>
                <w:highlight w:val="none"/>
                <w:lang w:val="en-US" w:eastAsia="zh-CN"/>
              </w:rPr>
              <w:t>5.7</w:t>
            </w:r>
            <w:r>
              <w:rPr>
                <w:rFonts w:hint="default"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rPr>
              <w:t>，总的</w:t>
            </w:r>
            <w:r>
              <w:rPr>
                <w:rFonts w:hint="default" w:ascii="Times New Roman" w:hAnsi="Times New Roman" w:eastAsia="宋体" w:cs="Times New Roman"/>
                <w:color w:val="auto"/>
                <w:highlight w:val="none"/>
                <w:lang w:val="en-US" w:eastAsia="zh-CN"/>
              </w:rPr>
              <w:t>污泥</w:t>
            </w:r>
            <w:r>
              <w:rPr>
                <w:rFonts w:hint="default" w:ascii="Times New Roman" w:hAnsi="Times New Roman" w:eastAsia="宋体" w:cs="Times New Roman"/>
                <w:color w:val="auto"/>
                <w:highlight w:val="none"/>
              </w:rPr>
              <w:t>产生量为</w:t>
            </w:r>
            <w:r>
              <w:rPr>
                <w:rFonts w:hint="eastAsia" w:cs="Times New Roman"/>
                <w:color w:val="auto"/>
                <w:highlight w:val="none"/>
                <w:lang w:val="en-US" w:eastAsia="zh-CN"/>
              </w:rPr>
              <w:t>28.5</w:t>
            </w:r>
            <w:r>
              <w:rPr>
                <w:rFonts w:hint="default" w:ascii="Times New Roman" w:hAnsi="Times New Roman" w:eastAsia="宋体" w:cs="Times New Roman"/>
                <w:color w:val="auto"/>
                <w:highlight w:val="none"/>
              </w:rPr>
              <w:t>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含水率80%</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。同时由于项目属食品加工企业，废水中主要污染因子为COD、SS、BOD</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等，不含有毒有害物质、重金属等污染物，因此，污水处理设施</w:t>
            </w:r>
            <w:r>
              <w:rPr>
                <w:rFonts w:hint="eastAsia" w:cs="Times New Roman"/>
                <w:color w:val="auto"/>
                <w:highlight w:val="none"/>
                <w:lang w:val="en-US" w:eastAsia="zh-CN"/>
              </w:rPr>
              <w:t>运行</w:t>
            </w:r>
            <w:r>
              <w:rPr>
                <w:rFonts w:hint="default" w:ascii="Times New Roman" w:hAnsi="Times New Roman" w:eastAsia="宋体" w:cs="Times New Roman"/>
                <w:color w:val="auto"/>
                <w:highlight w:val="none"/>
              </w:rPr>
              <w:t>过程中产生的剩余污泥属于一般工业固废</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脱水</w:t>
            </w:r>
            <w:r>
              <w:rPr>
                <w:rFonts w:hint="eastAsia" w:cs="Times New Roman"/>
                <w:color w:val="auto"/>
                <w:highlight w:val="none"/>
                <w:lang w:val="en-US" w:eastAsia="zh-CN"/>
              </w:rPr>
              <w:t>（含水率60%以下，14.2t/a）</w:t>
            </w:r>
            <w:r>
              <w:rPr>
                <w:rFonts w:hint="default" w:ascii="Times New Roman" w:hAnsi="Times New Roman" w:eastAsia="宋体" w:cs="Times New Roman"/>
                <w:color w:val="auto"/>
                <w:highlight w:val="none"/>
                <w:lang w:val="en-US" w:eastAsia="zh-CN"/>
              </w:rPr>
              <w:t>后集中拉运至当地垃圾填埋场处置</w:t>
            </w:r>
            <w:r>
              <w:rPr>
                <w:rFonts w:hint="default" w:ascii="Times New Roman" w:hAnsi="Times New Roman" w:eastAsia="宋体" w:cs="Times New Roman"/>
                <w:color w:val="auto"/>
                <w:highlight w:val="none"/>
              </w:rPr>
              <w:t>。</w:t>
            </w:r>
          </w:p>
          <w:p>
            <w:pPr>
              <w:pStyle w:val="34"/>
              <w:ind w:firstLine="480" w:firstLineChars="20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sz w:val="24"/>
                <w:szCs w:val="24"/>
                <w:highlight w:val="none"/>
                <w:lang w:val="en-US" w:eastAsia="zh-CN"/>
              </w:rPr>
              <w:t>废包装材料</w:t>
            </w:r>
          </w:p>
          <w:p>
            <w:pPr>
              <w:pStyle w:val="7"/>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项目运行过程中会产生废包装材料。主要为塑料袋、玻璃（塑料）瓶等，废包装材料年产生量为0.2t/a，分类收集后有利用价值的外售废品收购站、没有回收价值的交由园区环卫部门处置。</w:t>
            </w:r>
          </w:p>
          <w:p>
            <w:pPr>
              <w:ind w:firstLine="480" w:firstLineChars="200"/>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6</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color w:val="auto"/>
                <w:sz w:val="24"/>
                <w:szCs w:val="24"/>
                <w:highlight w:val="none"/>
                <w:lang w:val="en-US" w:eastAsia="zh-CN"/>
              </w:rPr>
              <w:t>不合格产品</w:t>
            </w:r>
          </w:p>
          <w:p>
            <w:pPr>
              <w:pStyle w:val="34"/>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项目质检会产生极少量的不合格产品，根据武山同类型企业提供的运行经验数据，不合格产品产生量为万分之0.5，产生量为1.3t/a，不合格产品</w:t>
            </w:r>
            <w:r>
              <w:rPr>
                <w:rFonts w:hint="eastAsia" w:ascii="Times New Roman" w:hAnsi="Times New Roman" w:cs="Times New Roman"/>
                <w:color w:val="auto"/>
                <w:lang w:val="en-US" w:eastAsia="zh-CN"/>
              </w:rPr>
              <w:t>去除</w:t>
            </w:r>
            <w:r>
              <w:rPr>
                <w:rFonts w:hint="default" w:ascii="Times New Roman" w:hAnsi="Times New Roman" w:eastAsia="宋体" w:cs="Times New Roman"/>
                <w:color w:val="auto"/>
                <w:lang w:val="en-US" w:eastAsia="zh-CN"/>
              </w:rPr>
              <w:t>包装后，浆水排入地埋一体式污水处理设施处理</w:t>
            </w:r>
            <w:r>
              <w:rPr>
                <w:rFonts w:hint="eastAsia" w:ascii="Times New Roman" w:hAnsi="Times New Roman" w:cs="Times New Roman"/>
                <w:color w:val="auto"/>
                <w:lang w:val="en-US" w:eastAsia="zh-CN"/>
              </w:rPr>
              <w:t>（不合格浆水产生量较小，排入地埋污水处理设施处理后不会对污水处理设备造成冲击）</w:t>
            </w:r>
            <w:r>
              <w:rPr>
                <w:rFonts w:hint="default" w:ascii="Times New Roman" w:hAnsi="Times New Roman" w:eastAsia="宋体" w:cs="Times New Roman"/>
                <w:color w:val="auto"/>
                <w:lang w:val="en-US" w:eastAsia="zh-CN"/>
              </w:rPr>
              <w:t>，其余固体废物经带盖容器收集后作为餐厨垃圾交有资质单位处置</w:t>
            </w:r>
          </w:p>
          <w:p>
            <w:pPr>
              <w:pStyle w:val="7"/>
              <w:rPr>
                <w:rFonts w:hint="default" w:ascii="Times New Roman" w:hAnsi="Times New Roman" w:eastAsia="宋体" w:cs="Times New Roman"/>
                <w:color w:val="auto"/>
                <w:lang w:val="en-US" w:eastAsia="zh-CN"/>
              </w:rPr>
            </w:pPr>
            <w:r>
              <w:rPr>
                <w:rFonts w:hint="eastAsia" w:cs="Times New Roman"/>
                <w:color w:val="auto"/>
                <w:lang w:val="en-US" w:eastAsia="zh-CN"/>
              </w:rPr>
              <w:t>7</w:t>
            </w:r>
            <w:r>
              <w:rPr>
                <w:rFonts w:hint="default" w:ascii="Times New Roman" w:hAnsi="Times New Roman" w:eastAsia="宋体" w:cs="Times New Roman"/>
                <w:color w:val="auto"/>
                <w:lang w:val="en-US" w:eastAsia="zh-CN"/>
              </w:rPr>
              <w:t>、纯水设备更换滤芯</w:t>
            </w:r>
          </w:p>
          <w:p>
            <w:pPr>
              <w:ind w:firstLine="480" w:firstLineChars="200"/>
              <w:rPr>
                <w:rFonts w:hint="default"/>
                <w:color w:val="auto"/>
                <w:lang w:val="en-US" w:eastAsia="zh-CN"/>
              </w:rPr>
            </w:pPr>
            <w:r>
              <w:rPr>
                <w:rFonts w:hint="eastAsia" w:ascii="Times New Roman" w:hAnsi="Times New Roman" w:eastAsia="宋体" w:cs="Times New Roman"/>
                <w:color w:val="auto"/>
                <w:lang w:val="en-US" w:eastAsia="zh-CN"/>
              </w:rPr>
              <w:t>纯水设备运行过程中会更换滤芯，滤芯主要成分为石英砂、活性炭、聚乙烯纤维棒、废反渗透膜，年产生量约0.</w:t>
            </w:r>
            <w:r>
              <w:rPr>
                <w:rFonts w:hint="eastAsia" w:cs="Times New Roman"/>
                <w:color w:val="auto"/>
                <w:lang w:val="en-US" w:eastAsia="zh-CN"/>
              </w:rPr>
              <w:t>1</w:t>
            </w:r>
            <w:r>
              <w:rPr>
                <w:rFonts w:hint="eastAsia" w:ascii="Times New Roman" w:hAnsi="Times New Roman" w:eastAsia="宋体" w:cs="Times New Roman"/>
                <w:color w:val="auto"/>
                <w:lang w:val="en-US" w:eastAsia="zh-CN"/>
              </w:rPr>
              <w:t>t/a，由设备商上门更换回收处置。</w:t>
            </w:r>
          </w:p>
          <w:p>
            <w:pPr>
              <w:adjustRightInd w:val="0"/>
              <w:snapToGrid w:val="0"/>
              <w:spacing w:line="360" w:lineRule="auto"/>
              <w:ind w:firstLine="496"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项目各项固体废物收集、暂存及处置方式见表4-</w:t>
            </w:r>
            <w:r>
              <w:rPr>
                <w:rFonts w:hint="default" w:ascii="Times New Roman" w:hAnsi="Times New Roman" w:eastAsia="宋体" w:cs="Times New Roman"/>
                <w:color w:val="auto"/>
                <w:spacing w:val="4"/>
                <w:sz w:val="24"/>
                <w:szCs w:val="24"/>
                <w:highlight w:val="none"/>
                <w:lang w:val="en-US" w:eastAsia="zh-CN"/>
              </w:rPr>
              <w:t>1</w:t>
            </w:r>
            <w:r>
              <w:rPr>
                <w:rFonts w:hint="eastAsia" w:cs="Times New Roman"/>
                <w:color w:val="auto"/>
                <w:spacing w:val="4"/>
                <w:sz w:val="24"/>
                <w:szCs w:val="24"/>
                <w:highlight w:val="none"/>
                <w:lang w:val="en-US" w:eastAsia="zh-CN"/>
              </w:rPr>
              <w:t>9</w:t>
            </w:r>
            <w:r>
              <w:rPr>
                <w:rFonts w:hint="default" w:ascii="Times New Roman" w:hAnsi="Times New Roman" w:eastAsia="宋体" w:cs="Times New Roman"/>
                <w:color w:val="auto"/>
                <w:spacing w:val="4"/>
                <w:sz w:val="24"/>
                <w:szCs w:val="24"/>
                <w:highlight w:val="none"/>
              </w:rPr>
              <w:t>。</w:t>
            </w:r>
          </w:p>
          <w:p>
            <w:pPr>
              <w:spacing w:line="360" w:lineRule="auto"/>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表4-1</w:t>
            </w:r>
            <w:r>
              <w:rPr>
                <w:rFonts w:hint="eastAsia"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lang w:val="en-US" w:eastAsia="zh-CN"/>
              </w:rPr>
              <w:t xml:space="preserve">  项目固体废物产生量及处理措施一览表</w:t>
            </w:r>
          </w:p>
          <w:tbl>
            <w:tblPr>
              <w:tblStyle w:val="25"/>
              <w:tblW w:w="767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096"/>
              <w:gridCol w:w="1095"/>
              <w:gridCol w:w="698"/>
              <w:gridCol w:w="925"/>
              <w:gridCol w:w="1065"/>
              <w:gridCol w:w="16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96"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产生环节</w:t>
                  </w:r>
                </w:p>
              </w:tc>
              <w:tc>
                <w:tcPr>
                  <w:tcW w:w="1096"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固废名称</w:t>
                  </w:r>
                </w:p>
              </w:tc>
              <w:tc>
                <w:tcPr>
                  <w:tcW w:w="109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固废属性及代码</w:t>
                  </w:r>
                </w:p>
              </w:tc>
              <w:tc>
                <w:tcPr>
                  <w:tcW w:w="698"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环境危险特性</w:t>
                  </w:r>
                </w:p>
              </w:tc>
              <w:tc>
                <w:tcPr>
                  <w:tcW w:w="92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产生量（t/a）</w:t>
                  </w:r>
                </w:p>
              </w:tc>
              <w:tc>
                <w:tcPr>
                  <w:tcW w:w="106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贮存方式</w:t>
                  </w:r>
                </w:p>
              </w:tc>
              <w:tc>
                <w:tcPr>
                  <w:tcW w:w="169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利用处置方式或去向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96"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办公、</w:t>
                  </w:r>
                  <w:r>
                    <w:rPr>
                      <w:rFonts w:hint="default" w:ascii="Times New Roman" w:hAnsi="Times New Roman" w:eastAsia="宋体" w:cs="Times New Roman"/>
                      <w:color w:val="auto"/>
                      <w:sz w:val="21"/>
                      <w:szCs w:val="21"/>
                    </w:rPr>
                    <w:t>生活</w:t>
                  </w:r>
                </w:p>
              </w:tc>
              <w:tc>
                <w:tcPr>
                  <w:tcW w:w="1096"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生活垃圾</w:t>
                  </w:r>
                </w:p>
              </w:tc>
              <w:tc>
                <w:tcPr>
                  <w:tcW w:w="109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900-001-63</w:t>
                  </w:r>
                </w:p>
              </w:tc>
              <w:tc>
                <w:tcPr>
                  <w:tcW w:w="698"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13.4</w:t>
                  </w:r>
                </w:p>
              </w:tc>
              <w:tc>
                <w:tcPr>
                  <w:tcW w:w="106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生活垃圾收集桶</w:t>
                  </w:r>
                </w:p>
              </w:tc>
              <w:tc>
                <w:tcPr>
                  <w:tcW w:w="169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集中收集后交由园区环卫部门处置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96"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蔬菜拣选</w:t>
                  </w:r>
                </w:p>
              </w:tc>
              <w:tc>
                <w:tcPr>
                  <w:tcW w:w="1096" w:type="dxa"/>
                  <w:noWrap w:val="0"/>
                  <w:vAlign w:val="center"/>
                </w:tcPr>
                <w:p>
                  <w:pPr>
                    <w:pStyle w:val="32"/>
                    <w:bidi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分拣杂质</w:t>
                  </w:r>
                </w:p>
              </w:tc>
              <w:tc>
                <w:tcPr>
                  <w:tcW w:w="109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一般固废</w:t>
                  </w:r>
                  <w:r>
                    <w:rPr>
                      <w:rFonts w:hint="default" w:ascii="Times New Roman" w:hAnsi="Times New Roman" w:eastAsia="宋体" w:cs="Times New Roman"/>
                      <w:color w:val="auto"/>
                      <w:sz w:val="21"/>
                      <w:szCs w:val="21"/>
                    </w:rPr>
                    <w:t>900-003-S61</w:t>
                  </w:r>
                </w:p>
              </w:tc>
              <w:tc>
                <w:tcPr>
                  <w:tcW w:w="698"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18.7</w:t>
                  </w:r>
                </w:p>
              </w:tc>
              <w:tc>
                <w:tcPr>
                  <w:tcW w:w="106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带盖塑料桶收集</w:t>
                  </w:r>
                </w:p>
              </w:tc>
              <w:tc>
                <w:tcPr>
                  <w:tcW w:w="1695" w:type="dxa"/>
                  <w:vMerge w:val="restart"/>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带盖容器收集后当日赠与周边农户作为牛羊饲料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96"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浆水原液过滤</w:t>
                  </w:r>
                </w:p>
              </w:tc>
              <w:tc>
                <w:tcPr>
                  <w:tcW w:w="1096" w:type="dxa"/>
                  <w:noWrap w:val="0"/>
                  <w:vAlign w:val="center"/>
                </w:tcPr>
                <w:p>
                  <w:pPr>
                    <w:pStyle w:val="32"/>
                    <w:bidi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过滤杂质</w:t>
                  </w:r>
                </w:p>
              </w:tc>
              <w:tc>
                <w:tcPr>
                  <w:tcW w:w="109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一般固废</w:t>
                  </w:r>
                  <w:r>
                    <w:rPr>
                      <w:rFonts w:hint="default" w:ascii="Times New Roman" w:hAnsi="Times New Roman" w:eastAsia="宋体" w:cs="Times New Roman"/>
                      <w:color w:val="auto"/>
                      <w:sz w:val="21"/>
                      <w:szCs w:val="21"/>
                    </w:rPr>
                    <w:t>900-003-S61</w:t>
                  </w:r>
                </w:p>
              </w:tc>
              <w:tc>
                <w:tcPr>
                  <w:tcW w:w="698"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0.36</w:t>
                  </w:r>
                </w:p>
              </w:tc>
              <w:tc>
                <w:tcPr>
                  <w:tcW w:w="106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带盖塑料桶收集</w:t>
                  </w:r>
                </w:p>
              </w:tc>
              <w:tc>
                <w:tcPr>
                  <w:tcW w:w="1695" w:type="dxa"/>
                  <w:vMerge w:val="continue"/>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96"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废水处理</w:t>
                  </w:r>
                </w:p>
              </w:tc>
              <w:tc>
                <w:tcPr>
                  <w:tcW w:w="1096"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污泥</w:t>
                  </w:r>
                </w:p>
              </w:tc>
              <w:tc>
                <w:tcPr>
                  <w:tcW w:w="1095" w:type="dxa"/>
                  <w:noWrap w:val="0"/>
                  <w:vAlign w:val="center"/>
                </w:tcPr>
                <w:p>
                  <w:pPr>
                    <w:pStyle w:val="32"/>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一般固废462-001-S90</w:t>
                  </w:r>
                </w:p>
              </w:tc>
              <w:tc>
                <w:tcPr>
                  <w:tcW w:w="698"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25"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14.2</w:t>
                  </w:r>
                  <w:r>
                    <w:rPr>
                      <w:rFonts w:hint="default" w:ascii="Times New Roman" w:hAnsi="Times New Roman" w:eastAsia="宋体" w:cs="Times New Roman"/>
                      <w:color w:val="auto"/>
                      <w:sz w:val="21"/>
                      <w:szCs w:val="21"/>
                      <w:highlight w:val="none"/>
                      <w:lang w:val="en-US" w:eastAsia="zh-CN"/>
                    </w:rPr>
                    <w:t>（含水率</w:t>
                  </w:r>
                  <w:r>
                    <w:rPr>
                      <w:rFonts w:hint="eastAsia"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val="en-US" w:eastAsia="zh-CN"/>
                    </w:rPr>
                    <w:t>%）</w:t>
                  </w:r>
                </w:p>
              </w:tc>
              <w:tc>
                <w:tcPr>
                  <w:tcW w:w="1065"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95"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脱水后拉运至当地的垃圾填埋场处置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96"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原料使用</w:t>
                  </w:r>
                </w:p>
              </w:tc>
              <w:tc>
                <w:tcPr>
                  <w:tcW w:w="1096"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废包装材料</w:t>
                  </w:r>
                </w:p>
              </w:tc>
              <w:tc>
                <w:tcPr>
                  <w:tcW w:w="1095" w:type="dxa"/>
                  <w:noWrap w:val="0"/>
                  <w:vAlign w:val="center"/>
                </w:tcPr>
                <w:p>
                  <w:pPr>
                    <w:pStyle w:val="32"/>
                    <w:bidi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一般固废</w:t>
                  </w:r>
                  <w:r>
                    <w:rPr>
                      <w:rFonts w:hint="default" w:ascii="Times New Roman" w:hAnsi="Times New Roman" w:eastAsia="宋体" w:cs="Times New Roman"/>
                      <w:color w:val="auto"/>
                      <w:sz w:val="21"/>
                      <w:szCs w:val="21"/>
                      <w:highlight w:val="none"/>
                    </w:rPr>
                    <w:t>900-003-S17</w:t>
                  </w:r>
                </w:p>
              </w:tc>
              <w:tc>
                <w:tcPr>
                  <w:tcW w:w="698"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25" w:type="dxa"/>
                  <w:noWrap w:val="0"/>
                  <w:vAlign w:val="center"/>
                </w:tcPr>
                <w:p>
                  <w:pPr>
                    <w:pStyle w:val="32"/>
                    <w:bidi w:val="0"/>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065"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收集桶</w:t>
                  </w:r>
                  <w:r>
                    <w:rPr>
                      <w:rFonts w:hint="eastAsia" w:cs="Times New Roman"/>
                      <w:color w:val="auto"/>
                      <w:sz w:val="21"/>
                      <w:szCs w:val="21"/>
                      <w:highlight w:val="none"/>
                      <w:lang w:val="en-US" w:eastAsia="zh-CN"/>
                    </w:rPr>
                    <w:t>收集</w:t>
                  </w:r>
                </w:p>
              </w:tc>
              <w:tc>
                <w:tcPr>
                  <w:tcW w:w="1695"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交由园区环卫部门处置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96"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纯水制备</w:t>
                  </w:r>
                </w:p>
              </w:tc>
              <w:tc>
                <w:tcPr>
                  <w:tcW w:w="1096"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废滤芯</w:t>
                  </w:r>
                </w:p>
              </w:tc>
              <w:tc>
                <w:tcPr>
                  <w:tcW w:w="1095" w:type="dxa"/>
                  <w:noWrap w:val="0"/>
                  <w:vAlign w:val="center"/>
                </w:tcPr>
                <w:p>
                  <w:pPr>
                    <w:pStyle w:val="32"/>
                    <w:bidi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一般固废</w:t>
                  </w:r>
                  <w:r>
                    <w:rPr>
                      <w:rFonts w:hint="default" w:ascii="Times New Roman" w:hAnsi="Times New Roman" w:eastAsia="宋体" w:cs="Times New Roman"/>
                      <w:color w:val="auto"/>
                      <w:sz w:val="21"/>
                      <w:szCs w:val="21"/>
                    </w:rPr>
                    <w:t>900-009-S59</w:t>
                  </w:r>
                </w:p>
              </w:tc>
              <w:tc>
                <w:tcPr>
                  <w:tcW w:w="698"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25" w:type="dxa"/>
                  <w:noWrap w:val="0"/>
                  <w:vAlign w:val="center"/>
                </w:tcPr>
                <w:p>
                  <w:pPr>
                    <w:pStyle w:val="32"/>
                    <w:bidi w:val="0"/>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065"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不储存</w:t>
                  </w:r>
                </w:p>
              </w:tc>
              <w:tc>
                <w:tcPr>
                  <w:tcW w:w="1695" w:type="dxa"/>
                  <w:noWrap w:val="0"/>
                  <w:vAlign w:val="center"/>
                </w:tcPr>
                <w:p>
                  <w:pPr>
                    <w:pStyle w:val="32"/>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交厂家上门回收处置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96" w:type="dxa"/>
                  <w:noWrap w:val="0"/>
                  <w:vAlign w:val="center"/>
                </w:tcPr>
                <w:p>
                  <w:pPr>
                    <w:pStyle w:val="32"/>
                    <w:bidi w:val="0"/>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质检</w:t>
                  </w:r>
                </w:p>
              </w:tc>
              <w:tc>
                <w:tcPr>
                  <w:tcW w:w="1096" w:type="dxa"/>
                  <w:noWrap w:val="0"/>
                  <w:vAlign w:val="center"/>
                </w:tcPr>
                <w:p>
                  <w:pPr>
                    <w:pStyle w:val="32"/>
                    <w:bidi w:val="0"/>
                    <w:spacing w:line="240" w:lineRule="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不合格产品</w:t>
                  </w:r>
                </w:p>
              </w:tc>
              <w:tc>
                <w:tcPr>
                  <w:tcW w:w="1095" w:type="dxa"/>
                  <w:noWrap w:val="0"/>
                  <w:vAlign w:val="center"/>
                </w:tcPr>
                <w:p>
                  <w:pPr>
                    <w:pStyle w:val="32"/>
                    <w:bidi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一般固废</w:t>
                  </w:r>
                  <w:r>
                    <w:rPr>
                      <w:rFonts w:hint="default" w:ascii="Times New Roman" w:hAnsi="Times New Roman" w:eastAsia="宋体" w:cs="Times New Roman"/>
                      <w:color w:val="auto"/>
                      <w:sz w:val="21"/>
                      <w:szCs w:val="21"/>
                    </w:rPr>
                    <w:t>900-003-S61</w:t>
                  </w:r>
                </w:p>
              </w:tc>
              <w:tc>
                <w:tcPr>
                  <w:tcW w:w="698" w:type="dxa"/>
                  <w:noWrap w:val="0"/>
                  <w:vAlign w:val="center"/>
                </w:tcPr>
                <w:p>
                  <w:pPr>
                    <w:pStyle w:val="32"/>
                    <w:bidi w:val="0"/>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25" w:type="dxa"/>
                  <w:noWrap w:val="0"/>
                  <w:vAlign w:val="center"/>
                </w:tcPr>
                <w:p>
                  <w:pPr>
                    <w:pStyle w:val="32"/>
                    <w:bidi w:val="0"/>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1065" w:type="dxa"/>
                  <w:noWrap w:val="0"/>
                  <w:vAlign w:val="center"/>
                </w:tcPr>
                <w:p>
                  <w:pPr>
                    <w:pStyle w:val="32"/>
                    <w:bidi w:val="0"/>
                    <w:spacing w:line="240" w:lineRule="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带盖塑料桶收集</w:t>
                  </w:r>
                </w:p>
              </w:tc>
              <w:tc>
                <w:tcPr>
                  <w:tcW w:w="1695" w:type="dxa"/>
                  <w:noWrap w:val="0"/>
                  <w:vAlign w:val="center"/>
                </w:tcPr>
                <w:p>
                  <w:pPr>
                    <w:pStyle w:val="32"/>
                    <w:bidi w:val="0"/>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不合格产品去处包装后，浆水排入地埋一体式污水处理设施处理，其余固体废物经带盖容器收集后作为餐厨垃圾交有资质单位处置</w:t>
                  </w:r>
                </w:p>
              </w:tc>
            </w:tr>
          </w:tbl>
          <w:p>
            <w:pPr>
              <w:widowControl/>
              <w:adjustRightInd w:val="0"/>
              <w:snapToGrid w:val="0"/>
              <w:spacing w:before="0" w:beforeAutospacing="0" w:after="0" w:afterAutospacing="0" w:line="360" w:lineRule="auto"/>
              <w:ind w:firstLine="482" w:firstLineChars="200"/>
              <w:jc w:val="left"/>
              <w:rPr>
                <w:rFonts w:hint="default" w:ascii="Times New Roman" w:hAnsi="Times New Roman" w:eastAsia="宋体" w:cs="Times New Roman"/>
                <w:b/>
                <w:color w:val="auto"/>
                <w:kern w:val="0"/>
                <w:sz w:val="24"/>
                <w:szCs w:val="20"/>
                <w:highlight w:val="none"/>
                <w:lang w:val="en-US" w:eastAsia="zh-CN" w:bidi="ar-SA"/>
              </w:rPr>
            </w:pPr>
            <w:r>
              <w:rPr>
                <w:rFonts w:hint="default" w:ascii="Times New Roman" w:hAnsi="Times New Roman" w:eastAsia="宋体" w:cs="Times New Roman"/>
                <w:b/>
                <w:color w:val="auto"/>
                <w:kern w:val="0"/>
                <w:sz w:val="24"/>
                <w:szCs w:val="20"/>
                <w:highlight w:val="none"/>
                <w:lang w:val="en-US" w:eastAsia="zh-CN" w:bidi="ar-SA"/>
              </w:rPr>
              <w:t>五、地下水环境影响分析</w:t>
            </w:r>
          </w:p>
          <w:p>
            <w:pPr>
              <w:adjustRightInd w:val="0"/>
              <w:snapToGrid w:val="0"/>
              <w:spacing w:line="360" w:lineRule="auto"/>
              <w:ind w:firstLine="480" w:firstLineChars="200"/>
              <w:jc w:val="left"/>
              <w:rPr>
                <w:rFonts w:hint="eastAsia" w:ascii="Times New Roman" w:hAnsi="Times New Roman" w:eastAsia="宋体" w:cs="Times New Roman"/>
                <w:color w:val="auto"/>
                <w:lang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不</w:t>
            </w:r>
            <w:r>
              <w:rPr>
                <w:rFonts w:hint="default" w:ascii="Times New Roman" w:hAnsi="Times New Roman" w:eastAsia="宋体" w:cs="Times New Roman"/>
                <w:color w:val="auto"/>
                <w:sz w:val="24"/>
                <w:highlight w:val="none"/>
              </w:rPr>
              <w:t>涉及危险废物的产生</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highlight w:val="none"/>
                <w:lang w:eastAsia="zh-CN"/>
              </w:rPr>
              <w:t>对</w:t>
            </w:r>
            <w:r>
              <w:rPr>
                <w:rFonts w:hint="eastAsia" w:ascii="Times New Roman" w:hAnsi="Times New Roman" w:eastAsia="宋体" w:cs="Times New Roman"/>
                <w:color w:val="auto"/>
                <w:highlight w:val="none"/>
                <w:lang w:val="en-US" w:eastAsia="zh-CN"/>
              </w:rPr>
              <w:t>土壤、</w:t>
            </w:r>
            <w:r>
              <w:rPr>
                <w:rFonts w:hint="eastAsia" w:ascii="Times New Roman" w:hAnsi="Times New Roman" w:eastAsia="宋体" w:cs="Times New Roman"/>
                <w:color w:val="auto"/>
                <w:highlight w:val="none"/>
                <w:lang w:eastAsia="zh-CN"/>
              </w:rPr>
              <w:t>地下水的污染途径主要为</w:t>
            </w:r>
            <w:r>
              <w:rPr>
                <w:rFonts w:hint="eastAsia" w:ascii="Times New Roman" w:hAnsi="Times New Roman" w:eastAsia="宋体" w:cs="Times New Roman"/>
                <w:color w:val="auto"/>
                <w:highlight w:val="none"/>
                <w:lang w:val="en-US" w:eastAsia="zh-CN"/>
              </w:rPr>
              <w:t>污水下渗</w:t>
            </w:r>
            <w:r>
              <w:rPr>
                <w:rFonts w:hint="eastAsia" w:ascii="Times New Roman" w:hAnsi="Times New Roman" w:eastAsia="宋体" w:cs="Times New Roman"/>
                <w:color w:val="auto"/>
                <w:highlight w:val="none"/>
                <w:lang w:eastAsia="zh-CN"/>
              </w:rPr>
              <w:t>，地埋式污水处理</w:t>
            </w:r>
            <w:r>
              <w:rPr>
                <w:rFonts w:hint="eastAsia" w:ascii="Times New Roman" w:hAnsi="Times New Roman" w:eastAsia="宋体" w:cs="Times New Roman"/>
                <w:color w:val="auto"/>
                <w:highlight w:val="none"/>
                <w:lang w:val="en-US" w:eastAsia="zh-CN"/>
              </w:rPr>
              <w:t>设备</w:t>
            </w:r>
            <w:r>
              <w:rPr>
                <w:rFonts w:hint="eastAsia" w:cs="Times New Roman"/>
                <w:color w:val="auto"/>
                <w:highlight w:val="none"/>
                <w:lang w:val="en-US" w:eastAsia="zh-CN"/>
              </w:rPr>
              <w:t>的</w:t>
            </w:r>
            <w:r>
              <w:rPr>
                <w:rFonts w:hint="eastAsia" w:ascii="Times New Roman" w:hAnsi="Times New Roman" w:eastAsia="宋体" w:cs="Times New Roman"/>
                <w:color w:val="auto"/>
                <w:highlight w:val="none"/>
                <w:lang w:eastAsia="zh-CN"/>
              </w:rPr>
              <w:t>防</w:t>
            </w:r>
            <w:r>
              <w:rPr>
                <w:rFonts w:hint="eastAsia" w:ascii="Times New Roman" w:hAnsi="Times New Roman" w:eastAsia="宋体" w:cs="Times New Roman"/>
                <w:color w:val="auto"/>
                <w:lang w:eastAsia="zh-CN"/>
              </w:rPr>
              <w:t>渗系统老化情况下，可能会对地下水及土壤环境造成污染。</w:t>
            </w:r>
          </w:p>
          <w:p>
            <w:pPr>
              <w:adjustRightInd w:val="0"/>
              <w:snapToGrid w:val="0"/>
              <w:spacing w:line="360" w:lineRule="auto"/>
              <w:ind w:firstLine="480" w:firstLineChars="200"/>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本次拟</w:t>
            </w:r>
            <w:r>
              <w:rPr>
                <w:rFonts w:hint="eastAsia" w:cs="Times New Roman"/>
                <w:color w:val="auto"/>
                <w:highlight w:val="none"/>
                <w:lang w:val="en-US" w:eastAsia="zh-CN"/>
              </w:rPr>
              <w:t>对地埋一体式污水处理设备采取</w:t>
            </w:r>
            <w:r>
              <w:rPr>
                <w:rFonts w:hint="eastAsia" w:ascii="Times New Roman" w:hAnsi="Times New Roman" w:eastAsia="宋体" w:cs="Times New Roman"/>
                <w:color w:val="auto"/>
                <w:highlight w:val="none"/>
                <w:lang w:val="en-US" w:eastAsia="zh-CN"/>
              </w:rPr>
              <w:t>防渗措施来减少对土壤、地下水的影响。</w:t>
            </w:r>
            <w:r>
              <w:rPr>
                <w:rFonts w:ascii="Times New Roman" w:hAnsi="Times New Roman" w:eastAsia="宋体" w:cs="Times New Roman"/>
                <w:color w:val="auto"/>
                <w:highlight w:val="none"/>
              </w:rPr>
              <w:t>根据本项目特点，将本项目地下水污染防治分区划分为重点</w:t>
            </w:r>
            <w:r>
              <w:rPr>
                <w:rFonts w:hint="eastAsia" w:ascii="Times New Roman" w:hAnsi="Times New Roman" w:eastAsia="宋体" w:cs="Times New Roman"/>
                <w:color w:val="auto"/>
                <w:highlight w:val="none"/>
                <w:lang w:eastAsia="zh-CN"/>
              </w:rPr>
              <w:t>防渗区</w:t>
            </w:r>
            <w:r>
              <w:rPr>
                <w:rFonts w:hint="eastAsia" w:cs="Times New Roman"/>
                <w:color w:val="auto"/>
                <w:highlight w:val="none"/>
                <w:lang w:val="en-US" w:eastAsia="zh-CN"/>
              </w:rPr>
              <w:t>、一般防渗区、</w:t>
            </w:r>
            <w:r>
              <w:rPr>
                <w:rFonts w:ascii="Times New Roman" w:hAnsi="Times New Roman" w:eastAsia="宋体" w:cs="Times New Roman"/>
                <w:color w:val="auto"/>
                <w:highlight w:val="none"/>
              </w:rPr>
              <w:t>简单</w:t>
            </w:r>
            <w:r>
              <w:rPr>
                <w:rFonts w:hint="eastAsia" w:ascii="Times New Roman" w:hAnsi="Times New Roman" w:eastAsia="宋体" w:cs="Times New Roman"/>
                <w:color w:val="auto"/>
                <w:highlight w:val="none"/>
                <w:lang w:eastAsia="zh-CN"/>
              </w:rPr>
              <w:t>防渗区</w:t>
            </w:r>
            <w:r>
              <w:rPr>
                <w:rFonts w:ascii="Times New Roman" w:hAnsi="Times New Roman" w:eastAsia="宋体" w:cs="Times New Roman"/>
                <w:color w:val="auto"/>
                <w:highlight w:val="none"/>
              </w:rPr>
              <w:t>，具体见</w:t>
            </w:r>
            <w:r>
              <w:rPr>
                <w:rFonts w:hint="eastAsia" w:ascii="Times New Roman" w:hAnsi="Times New Roman" w:eastAsia="宋体" w:cs="Times New Roman"/>
                <w:color w:val="auto"/>
                <w:highlight w:val="none"/>
                <w:lang w:val="en-US" w:eastAsia="zh-CN"/>
              </w:rPr>
              <w:t>下</w:t>
            </w:r>
            <w:r>
              <w:rPr>
                <w:rFonts w:ascii="Times New Roman" w:hAnsi="Times New Roman" w:eastAsia="宋体" w:cs="Times New Roman"/>
                <w:color w:val="auto"/>
                <w:highlight w:val="none"/>
              </w:rPr>
              <w:t>表4-</w:t>
            </w:r>
            <w:r>
              <w:rPr>
                <w:rFonts w:hint="eastAsia" w:cs="Times New Roman"/>
                <w:color w:val="auto"/>
                <w:highlight w:val="none"/>
                <w:lang w:val="en-US" w:eastAsia="zh-CN"/>
              </w:rPr>
              <w:t>20</w:t>
            </w:r>
            <w:r>
              <w:rPr>
                <w:rFonts w:hint="eastAsia" w:ascii="Times New Roman" w:hAnsi="Times New Roman" w:eastAsia="宋体" w:cs="Times New Roman"/>
                <w:color w:val="auto"/>
                <w:highlight w:val="none"/>
                <w:lang w:val="en-US" w:eastAsia="zh-CN"/>
              </w:rPr>
              <w:t>、附图</w:t>
            </w:r>
            <w:r>
              <w:rPr>
                <w:rFonts w:hint="eastAsia"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w:t>
            </w:r>
          </w:p>
          <w:p>
            <w:pPr>
              <w:widowControl w:val="0"/>
              <w:autoSpaceDE w:val="0"/>
              <w:autoSpaceDN w:val="0"/>
              <w:adjustRightInd w:val="0"/>
              <w:spacing w:line="360" w:lineRule="auto"/>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表4-</w:t>
            </w:r>
            <w:r>
              <w:rPr>
                <w:rFonts w:hint="eastAsia" w:cs="Times New Roman"/>
                <w:b/>
                <w:bCs/>
                <w:color w:val="auto"/>
                <w:highlight w:val="none"/>
                <w:lang w:val="en-US" w:eastAsia="zh-CN"/>
              </w:rPr>
              <w:t>20</w:t>
            </w:r>
            <w:r>
              <w:rPr>
                <w:rFonts w:hint="eastAsia" w:ascii="Times New Roman" w:hAnsi="Times New Roman" w:eastAsia="宋体" w:cs="Times New Roman"/>
                <w:b/>
                <w:bCs/>
                <w:color w:val="auto"/>
                <w:highlight w:val="none"/>
                <w:lang w:val="en-US" w:eastAsia="zh-CN"/>
              </w:rPr>
              <w:t xml:space="preserve">  本项目污染防渗分区表</w:t>
            </w:r>
          </w:p>
          <w:tbl>
            <w:tblPr>
              <w:tblStyle w:val="25"/>
              <w:tblW w:w="767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5"/>
              <w:gridCol w:w="1537"/>
              <w:gridCol w:w="49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215" w:type="dxa"/>
                  <w:tcBorders>
                    <w:top w:val="single" w:color="auto" w:sz="4" w:space="0"/>
                    <w:tl2br w:val="nil"/>
                    <w:tr2bl w:val="nil"/>
                  </w:tcBorders>
                  <w:vAlign w:val="center"/>
                </w:tcPr>
                <w:p>
                  <w:pPr>
                    <w:widowControl w:val="0"/>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防渗分区</w:t>
                  </w:r>
                </w:p>
              </w:tc>
              <w:tc>
                <w:tcPr>
                  <w:tcW w:w="1537" w:type="dxa"/>
                  <w:tcBorders>
                    <w:top w:val="single" w:color="auto" w:sz="4" w:space="0"/>
                    <w:tl2br w:val="nil"/>
                    <w:tr2bl w:val="nil"/>
                  </w:tcBorders>
                  <w:vAlign w:val="center"/>
                </w:tcPr>
                <w:p>
                  <w:pPr>
                    <w:widowControl w:val="0"/>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工程单元</w:t>
                  </w:r>
                </w:p>
              </w:tc>
              <w:tc>
                <w:tcPr>
                  <w:tcW w:w="4918" w:type="dxa"/>
                  <w:tcBorders>
                    <w:top w:val="single" w:color="auto" w:sz="4" w:space="0"/>
                    <w:tl2br w:val="nil"/>
                    <w:tr2bl w:val="nil"/>
                  </w:tcBorders>
                  <w:vAlign w:val="center"/>
                </w:tcPr>
                <w:p>
                  <w:pPr>
                    <w:widowControl w:val="0"/>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防渗要求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PrEx>
              <w:tc>
                <w:tcPr>
                  <w:tcW w:w="1215" w:type="dxa"/>
                  <w:tcBorders>
                    <w:tl2br w:val="nil"/>
                    <w:tr2bl w:val="nil"/>
                  </w:tcBorders>
                  <w:vAlign w:val="center"/>
                </w:tcPr>
                <w:p>
                  <w:pPr>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重点防渗区</w:t>
                  </w:r>
                </w:p>
              </w:tc>
              <w:tc>
                <w:tcPr>
                  <w:tcW w:w="1537" w:type="dxa"/>
                  <w:tcBorders>
                    <w:tl2br w:val="nil"/>
                    <w:tr2bl w:val="nil"/>
                  </w:tcBorders>
                  <w:vAlign w:val="center"/>
                </w:tcPr>
                <w:p>
                  <w:pPr>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地埋式污水处理设备</w:t>
                  </w:r>
                </w:p>
              </w:tc>
              <w:tc>
                <w:tcPr>
                  <w:tcW w:w="4918" w:type="dxa"/>
                  <w:tcBorders>
                    <w:tl2br w:val="nil"/>
                    <w:tr2bl w:val="nil"/>
                  </w:tcBorders>
                  <w:vAlign w:val="center"/>
                </w:tcPr>
                <w:p>
                  <w:pPr>
                    <w:widowControl w:val="0"/>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color w:val="auto"/>
                      <w:sz w:val="21"/>
                      <w:szCs w:val="21"/>
                      <w:highlight w:val="none"/>
                      <w:vertAlign w:val="superscript"/>
                      <w:lang w:val="en-US" w:eastAsia="zh-CN"/>
                    </w:rPr>
                    <w:t>-7</w:t>
                  </w:r>
                  <w:r>
                    <w:rPr>
                      <w:rFonts w:hint="eastAsia" w:ascii="Times New Roman" w:hAnsi="Times New Roman" w:eastAsia="宋体" w:cs="Times New Roman"/>
                      <w:color w:val="auto"/>
                      <w:sz w:val="21"/>
                      <w:szCs w:val="21"/>
                      <w:highlight w:val="none"/>
                      <w:lang w:val="en-US" w:eastAsia="zh-CN"/>
                    </w:rPr>
                    <w:t>cm/s），或至少2mm厚高密度聚乙烯膜等人工防渗材料（渗透系数不大于10-</w:t>
                  </w:r>
                  <w:r>
                    <w:rPr>
                      <w:rFonts w:hint="eastAsia" w:ascii="Times New Roman" w:hAnsi="Times New Roman" w:eastAsia="宋体" w:cs="Times New Roman"/>
                      <w:color w:val="auto"/>
                      <w:sz w:val="21"/>
                      <w:szCs w:val="21"/>
                      <w:highlight w:val="none"/>
                      <w:vertAlign w:val="superscript"/>
                      <w:lang w:val="en-US" w:eastAsia="zh-CN"/>
                    </w:rPr>
                    <w:t>10</w:t>
                  </w:r>
                  <w:r>
                    <w:rPr>
                      <w:rFonts w:hint="eastAsia" w:ascii="Times New Roman" w:hAnsi="Times New Roman" w:eastAsia="宋体" w:cs="Times New Roman"/>
                      <w:color w:val="auto"/>
                      <w:sz w:val="21"/>
                      <w:szCs w:val="21"/>
                      <w:highlight w:val="none"/>
                      <w:lang w:val="en-US" w:eastAsia="zh-CN"/>
                    </w:rPr>
                    <w:t>cm/s），或其他防渗性能等效的材料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215" w:type="dxa"/>
                  <w:tcBorders>
                    <w:tl2br w:val="nil"/>
                    <w:tr2bl w:val="nil"/>
                  </w:tcBorders>
                  <w:vAlign w:val="center"/>
                </w:tcPr>
                <w:p>
                  <w:pPr>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一般防渗区</w:t>
                  </w:r>
                </w:p>
              </w:tc>
              <w:tc>
                <w:tcPr>
                  <w:tcW w:w="1537" w:type="dxa"/>
                  <w:tcBorders>
                    <w:tl2br w:val="nil"/>
                    <w:tr2bl w:val="nil"/>
                  </w:tcBorders>
                  <w:vAlign w:val="center"/>
                </w:tcPr>
                <w:p>
                  <w:pPr>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化粪池</w:t>
                  </w:r>
                </w:p>
              </w:tc>
              <w:tc>
                <w:tcPr>
                  <w:tcW w:w="4918" w:type="dxa"/>
                  <w:tcBorders>
                    <w:tl2br w:val="nil"/>
                    <w:tr2bl w:val="nil"/>
                  </w:tcBorders>
                  <w:vAlign w:val="center"/>
                </w:tcPr>
                <w:p>
                  <w:pPr>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等效黏土防渗层Mb≥1.5m，K≤1.0×10</w:t>
                  </w:r>
                  <w:r>
                    <w:rPr>
                      <w:rFonts w:hint="eastAsia" w:ascii="Times New Roman" w:hAnsi="Times New Roman" w:eastAsia="宋体" w:cs="Times New Roman"/>
                      <w:color w:val="auto"/>
                      <w:sz w:val="21"/>
                      <w:szCs w:val="21"/>
                      <w:highlight w:val="none"/>
                      <w:vertAlign w:val="superscript"/>
                      <w:lang w:val="en-US" w:eastAsia="zh-CN"/>
                    </w:rPr>
                    <w:t>-7</w:t>
                  </w:r>
                  <w:r>
                    <w:rPr>
                      <w:rFonts w:hint="eastAsia" w:ascii="Times New Roman" w:hAnsi="Times New Roman" w:eastAsia="宋体" w:cs="Times New Roman"/>
                      <w:color w:val="auto"/>
                      <w:sz w:val="21"/>
                      <w:szCs w:val="21"/>
                      <w:highlight w:val="none"/>
                      <w:lang w:val="en-US" w:eastAsia="zh-CN"/>
                    </w:rPr>
                    <w:t>cm/s</w:t>
                  </w:r>
                  <w:r>
                    <w:rPr>
                      <w:rFonts w:hint="eastAsia" w:cs="Times New Roman"/>
                      <w:color w:val="auto"/>
                      <w:sz w:val="21"/>
                      <w:szCs w:val="21"/>
                      <w:highlight w:val="none"/>
                      <w:lang w:val="en-US" w:eastAsia="zh-CN"/>
                    </w:rPr>
                    <w:t>；或参照GB16889执行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215" w:type="dxa"/>
                  <w:tcBorders>
                    <w:bottom w:val="single" w:color="auto" w:sz="4" w:space="0"/>
                    <w:tl2br w:val="nil"/>
                    <w:tr2bl w:val="nil"/>
                  </w:tcBorders>
                  <w:vAlign w:val="center"/>
                </w:tcPr>
                <w:p>
                  <w:pPr>
                    <w:widowControl w:val="0"/>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简单防渗区</w:t>
                  </w:r>
                </w:p>
              </w:tc>
              <w:tc>
                <w:tcPr>
                  <w:tcW w:w="1537" w:type="dxa"/>
                  <w:tcBorders>
                    <w:bottom w:val="single" w:color="auto" w:sz="4" w:space="0"/>
                    <w:tl2br w:val="nil"/>
                    <w:tr2bl w:val="nil"/>
                  </w:tcBorders>
                  <w:vAlign w:val="center"/>
                </w:tcPr>
                <w:p>
                  <w:pPr>
                    <w:widowControl w:val="0"/>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其他区域</w:t>
                  </w:r>
                </w:p>
              </w:tc>
              <w:tc>
                <w:tcPr>
                  <w:tcW w:w="4918" w:type="dxa"/>
                  <w:tcBorders>
                    <w:bottom w:val="single" w:color="auto" w:sz="4" w:space="0"/>
                    <w:tl2br w:val="nil"/>
                    <w:tr2bl w:val="nil"/>
                  </w:tcBorders>
                  <w:vAlign w:val="center"/>
                </w:tcPr>
                <w:p>
                  <w:pPr>
                    <w:widowControl w:val="0"/>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简单地面硬化</w:t>
                  </w:r>
                </w:p>
              </w:tc>
            </w:tr>
          </w:tbl>
          <w:p>
            <w:pPr>
              <w:adjustRightInd w:val="0"/>
              <w:snapToGrid w:val="0"/>
              <w:spacing w:line="360" w:lineRule="auto"/>
              <w:ind w:firstLine="480" w:firstLineChars="200"/>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综上，经采取地下水污染防治分区防渗措施后，可避免</w:t>
            </w:r>
            <w:r>
              <w:rPr>
                <w:rFonts w:hint="eastAsia" w:ascii="Times New Roman" w:hAnsi="Times New Roman" w:eastAsia="宋体" w:cs="Times New Roman"/>
                <w:color w:val="auto"/>
                <w:highlight w:val="none"/>
                <w:lang w:val="en-US" w:eastAsia="zh-CN"/>
              </w:rPr>
              <w:t>废水泄漏</w:t>
            </w:r>
            <w:r>
              <w:rPr>
                <w:rFonts w:hint="eastAsia" w:ascii="Times New Roman" w:hAnsi="Times New Roman" w:eastAsia="宋体" w:cs="Times New Roman"/>
                <w:color w:val="auto"/>
                <w:highlight w:val="none"/>
              </w:rPr>
              <w:t>下渗，正常工况下基本不会对</w:t>
            </w:r>
            <w:r>
              <w:rPr>
                <w:rFonts w:hint="eastAsia" w:ascii="Times New Roman" w:hAnsi="Times New Roman" w:eastAsia="宋体" w:cs="Times New Roman"/>
                <w:color w:val="auto"/>
                <w:highlight w:val="none"/>
                <w:lang w:val="en-US" w:eastAsia="zh-CN"/>
              </w:rPr>
              <w:t>土壤、</w:t>
            </w:r>
            <w:r>
              <w:rPr>
                <w:rFonts w:hint="eastAsia" w:ascii="Times New Roman" w:hAnsi="Times New Roman" w:eastAsia="宋体" w:cs="Times New Roman"/>
                <w:color w:val="auto"/>
                <w:highlight w:val="none"/>
              </w:rPr>
              <w:t>地下水产生影响。非正常工况下，发生防渗系统老化情况下，可能会对</w:t>
            </w:r>
            <w:r>
              <w:rPr>
                <w:rFonts w:hint="eastAsia" w:ascii="Times New Roman" w:hAnsi="Times New Roman" w:eastAsia="宋体" w:cs="Times New Roman"/>
                <w:color w:val="auto"/>
                <w:highlight w:val="none"/>
                <w:lang w:val="en-US" w:eastAsia="zh-CN"/>
              </w:rPr>
              <w:t>土壤、</w:t>
            </w:r>
            <w:r>
              <w:rPr>
                <w:rFonts w:hint="eastAsia" w:ascii="Times New Roman" w:hAnsi="Times New Roman" w:eastAsia="宋体" w:cs="Times New Roman"/>
                <w:color w:val="auto"/>
                <w:highlight w:val="none"/>
              </w:rPr>
              <w:t>地下水造成污染，建议企业定期检查防渗层是否老化或破裂，及时发现问题，及时修整。只要采取有力的防护措施，将事故发生概率降到最低，并在事故发生后的第一时间采取措施，</w:t>
            </w:r>
            <w:r>
              <w:rPr>
                <w:rFonts w:hint="eastAsia" w:ascii="Times New Roman" w:hAnsi="Times New Roman" w:eastAsia="宋体" w:cs="Times New Roman"/>
                <w:color w:val="auto"/>
                <w:highlight w:val="none"/>
                <w:lang w:val="en-US" w:eastAsia="zh-CN"/>
              </w:rPr>
              <w:t>减轻</w:t>
            </w:r>
            <w:r>
              <w:rPr>
                <w:rFonts w:hint="eastAsia" w:ascii="Times New Roman" w:hAnsi="Times New Roman" w:eastAsia="宋体" w:cs="Times New Roman"/>
                <w:color w:val="auto"/>
                <w:highlight w:val="none"/>
              </w:rPr>
              <w:t>非正常状态下对</w:t>
            </w:r>
            <w:r>
              <w:rPr>
                <w:rFonts w:hint="eastAsia" w:ascii="Times New Roman" w:hAnsi="Times New Roman" w:eastAsia="宋体" w:cs="Times New Roman"/>
                <w:color w:val="auto"/>
                <w:highlight w:val="none"/>
                <w:lang w:val="en-US" w:eastAsia="zh-CN"/>
              </w:rPr>
              <w:t>土壤、</w:t>
            </w:r>
            <w:r>
              <w:rPr>
                <w:rFonts w:hint="eastAsia" w:ascii="Times New Roman" w:hAnsi="Times New Roman" w:eastAsia="宋体" w:cs="Times New Roman"/>
                <w:color w:val="auto"/>
                <w:highlight w:val="none"/>
              </w:rPr>
              <w:t>地下水的影响。</w:t>
            </w:r>
          </w:p>
          <w:p>
            <w:pPr>
              <w:adjustRightInd w:val="0"/>
              <w:snapToGrid w:val="0"/>
              <w:spacing w:line="360"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六、环境风险分析</w:t>
            </w:r>
          </w:p>
          <w:p>
            <w:pPr>
              <w:pStyle w:val="46"/>
              <w:snapToGrid w:val="0"/>
              <w:spacing w:line="360" w:lineRule="auto"/>
              <w:ind w:firstLine="482" w:firstLineChars="200"/>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1、环境风险物质筛查</w:t>
            </w:r>
          </w:p>
          <w:p>
            <w:pPr>
              <w:pStyle w:val="46"/>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项目使用的原辅材料对照《建设项目环境风险评价技术导则》（HJ169-2018）附录B，项目的环境风险物质为</w:t>
            </w:r>
            <w:r>
              <w:rPr>
                <w:rFonts w:hint="default" w:ascii="Times New Roman" w:hAnsi="Times New Roman" w:eastAsia="宋体" w:cs="Times New Roman"/>
                <w:color w:val="auto"/>
                <w:kern w:val="2"/>
                <w:sz w:val="24"/>
                <w:szCs w:val="24"/>
                <w:highlight w:val="none"/>
                <w:lang w:val="en-US" w:eastAsia="zh-CN"/>
              </w:rPr>
              <w:t>储存在</w:t>
            </w:r>
            <w:r>
              <w:rPr>
                <w:rFonts w:hint="eastAsia" w:eastAsia="宋体" w:cs="Times New Roman"/>
                <w:color w:val="auto"/>
                <w:kern w:val="2"/>
                <w:sz w:val="24"/>
                <w:szCs w:val="24"/>
                <w:highlight w:val="none"/>
                <w:lang w:val="en-US" w:eastAsia="zh-CN"/>
              </w:rPr>
              <w:t>消毒更衣间存放的乙醇以及</w:t>
            </w:r>
            <w:r>
              <w:rPr>
                <w:rFonts w:hint="default" w:ascii="Times New Roman" w:hAnsi="Times New Roman" w:eastAsia="宋体" w:cs="Times New Roman"/>
                <w:color w:val="auto"/>
                <w:kern w:val="2"/>
                <w:sz w:val="24"/>
                <w:szCs w:val="24"/>
                <w:highlight w:val="none"/>
                <w:lang w:val="en-US" w:eastAsia="zh-CN"/>
              </w:rPr>
              <w:t>管道内的天然气</w:t>
            </w:r>
            <w:r>
              <w:rPr>
                <w:rFonts w:hint="default" w:ascii="Times New Roman" w:hAnsi="Times New Roman" w:eastAsia="宋体" w:cs="Times New Roman"/>
                <w:color w:val="auto"/>
                <w:kern w:val="2"/>
                <w:sz w:val="24"/>
                <w:szCs w:val="24"/>
                <w:highlight w:val="none"/>
                <w:lang w:eastAsia="zh-CN"/>
              </w:rPr>
              <w:t>，</w:t>
            </w:r>
            <w:r>
              <w:rPr>
                <w:rFonts w:hint="eastAsia" w:eastAsia="宋体" w:cs="Times New Roman"/>
                <w:color w:val="auto"/>
                <w:kern w:val="2"/>
                <w:sz w:val="24"/>
                <w:szCs w:val="24"/>
                <w:highlight w:val="none"/>
                <w:lang w:val="en-US" w:eastAsia="zh-CN"/>
              </w:rPr>
              <w:t>乙醇（酒精）最大存储量为0.0079t/a（折算纯物质为95%）。</w:t>
            </w:r>
          </w:p>
          <w:p>
            <w:pPr>
              <w:pStyle w:val="46"/>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sz w:val="24"/>
                <w:szCs w:val="24"/>
                <w:highlight w:val="none"/>
              </w:rPr>
              <w:t>本项目不储存天然气，仅为管道中存在的天然气，本项目管道内径为</w:t>
            </w:r>
            <w:r>
              <w:rPr>
                <w:rFonts w:hint="default" w:ascii="Times New Roman" w:hAnsi="Times New Roman" w:eastAsia="宋体" w:cs="Times New Roman"/>
                <w:color w:val="auto"/>
                <w:sz w:val="24"/>
                <w:szCs w:val="24"/>
                <w:highlight w:val="none"/>
                <w:lang w:val="en-US" w:eastAsia="zh-CN"/>
              </w:rPr>
              <w:t>200m</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管道长度为12</w:t>
            </w:r>
            <w:r>
              <w:rPr>
                <w:rFonts w:hint="default" w:ascii="Times New Roman" w:hAnsi="Times New Roman" w:eastAsia="宋体" w:cs="Times New Roman"/>
                <w:color w:val="auto"/>
                <w:sz w:val="24"/>
                <w:szCs w:val="24"/>
                <w:highlight w:val="none"/>
              </w:rPr>
              <w:t>m，天然气密度取0.7174kg/m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，因此可计算出锅炉房管线中天然气的存在量为0.00</w:t>
            </w:r>
            <w:r>
              <w:rPr>
                <w:rFonts w:hint="default" w:ascii="Times New Roman" w:hAnsi="Times New Roman" w:eastAsia="宋体" w:cs="Times New Roman"/>
                <w:color w:val="auto"/>
                <w:sz w:val="24"/>
                <w:szCs w:val="24"/>
                <w:highlight w:val="none"/>
                <w:lang w:val="en-US" w:eastAsia="zh-CN"/>
              </w:rPr>
              <w:t>027</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kern w:val="2"/>
                <w:sz w:val="24"/>
                <w:szCs w:val="24"/>
                <w:highlight w:val="none"/>
                <w:lang w:eastAsia="zh-CN"/>
              </w:rPr>
              <w:t>风险物质及</w:t>
            </w:r>
            <w:r>
              <w:rPr>
                <w:rFonts w:hint="default" w:ascii="Times New Roman" w:hAnsi="Times New Roman" w:eastAsia="宋体" w:cs="Times New Roman"/>
                <w:color w:val="auto"/>
                <w:kern w:val="2"/>
                <w:sz w:val="24"/>
                <w:szCs w:val="24"/>
                <w:highlight w:val="none"/>
                <w:lang w:val="en-US" w:eastAsia="zh-CN"/>
              </w:rPr>
              <w:t>Q值计算见下表。</w:t>
            </w:r>
          </w:p>
          <w:p>
            <w:pPr>
              <w:pStyle w:val="10"/>
              <w:ind w:left="0" w:leftChars="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sz w:val="24"/>
                <w:highlight w:val="none"/>
                <w:lang w:eastAsia="zh-CN"/>
              </w:rPr>
              <w:t>表</w:t>
            </w:r>
            <w:r>
              <w:rPr>
                <w:rFonts w:hint="default" w:ascii="Times New Roman" w:hAnsi="Times New Roman" w:eastAsia="宋体" w:cs="Times New Roman"/>
                <w:b/>
                <w:bCs/>
                <w:color w:val="auto"/>
                <w:sz w:val="24"/>
                <w:highlight w:val="none"/>
                <w:lang w:val="en-US" w:eastAsia="zh-CN"/>
              </w:rPr>
              <w:t>4-</w:t>
            </w:r>
            <w:r>
              <w:rPr>
                <w:rFonts w:hint="eastAsia" w:cs="Times New Roman"/>
                <w:b/>
                <w:bCs/>
                <w:color w:val="auto"/>
                <w:sz w:val="24"/>
                <w:highlight w:val="none"/>
                <w:lang w:val="en-US" w:eastAsia="zh-CN"/>
              </w:rPr>
              <w:t>21</w:t>
            </w:r>
            <w:r>
              <w:rPr>
                <w:rFonts w:hint="default" w:ascii="Times New Roman" w:hAnsi="Times New Roman" w:eastAsia="宋体" w:cs="Times New Roman"/>
                <w:b/>
                <w:bCs/>
                <w:color w:val="auto"/>
                <w:sz w:val="24"/>
                <w:highlight w:val="none"/>
                <w:lang w:val="en-US" w:eastAsia="zh-CN"/>
              </w:rPr>
              <w:t xml:space="preserve">  Q值计算结果一览表</w:t>
            </w:r>
          </w:p>
          <w:tbl>
            <w:tblPr>
              <w:tblStyle w:val="25"/>
              <w:tblW w:w="767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534"/>
              <w:gridCol w:w="1534"/>
              <w:gridCol w:w="1535"/>
              <w:gridCol w:w="15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33"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物质名称</w:t>
                  </w:r>
                </w:p>
              </w:tc>
              <w:tc>
                <w:tcPr>
                  <w:tcW w:w="1534" w:type="dxa"/>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CAS</w:t>
                  </w:r>
                  <w:r>
                    <w:rPr>
                      <w:rFonts w:hint="default" w:ascii="Times New Roman" w:hAnsi="Times New Roman" w:eastAsia="宋体" w:cs="Times New Roman"/>
                      <w:color w:val="auto"/>
                      <w:lang w:eastAsia="zh-CN"/>
                    </w:rPr>
                    <w:t>号</w:t>
                  </w:r>
                </w:p>
              </w:tc>
              <w:tc>
                <w:tcPr>
                  <w:tcW w:w="1534"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最大存储量</w:t>
                  </w:r>
                  <w:r>
                    <w:rPr>
                      <w:rFonts w:hint="default" w:ascii="Times New Roman" w:hAnsi="Times New Roman" w:eastAsia="宋体" w:cs="Times New Roman"/>
                      <w:color w:val="auto"/>
                      <w:lang w:val="en-US" w:eastAsia="zh-CN"/>
                    </w:rPr>
                    <w:t>t</w:t>
                  </w:r>
                </w:p>
              </w:tc>
              <w:tc>
                <w:tcPr>
                  <w:tcW w:w="1535"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临界量</w:t>
                  </w:r>
                  <w:r>
                    <w:rPr>
                      <w:rFonts w:hint="default" w:ascii="Times New Roman" w:hAnsi="Times New Roman" w:eastAsia="宋体" w:cs="Times New Roman"/>
                      <w:color w:val="auto"/>
                      <w:lang w:val="en-US" w:eastAsia="zh-CN"/>
                    </w:rPr>
                    <w:t>t</w:t>
                  </w:r>
                </w:p>
              </w:tc>
              <w:tc>
                <w:tcPr>
                  <w:tcW w:w="1534" w:type="dxa"/>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Q</w:t>
                  </w:r>
                  <w:r>
                    <w:rPr>
                      <w:rFonts w:hint="default" w:ascii="Times New Roman" w:hAnsi="Times New Roman" w:eastAsia="宋体" w:cs="Times New Roman"/>
                      <w:color w:val="auto"/>
                      <w:lang w:eastAsia="zh-CN"/>
                    </w:rPr>
                    <w:t>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33"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天然气</w:t>
                  </w:r>
                </w:p>
              </w:tc>
              <w:tc>
                <w:tcPr>
                  <w:tcW w:w="1534"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74-82-8</w:t>
                  </w:r>
                </w:p>
              </w:tc>
              <w:tc>
                <w:tcPr>
                  <w:tcW w:w="1534"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0.00027</w:t>
                  </w:r>
                </w:p>
              </w:tc>
              <w:tc>
                <w:tcPr>
                  <w:tcW w:w="1535"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534" w:type="dxa"/>
                  <w:noWrap w:val="0"/>
                  <w:vAlign w:val="center"/>
                </w:tcPr>
                <w:p>
                  <w:pPr>
                    <w:widowControl w:val="0"/>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0.000027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33" w:type="dxa"/>
                  <w:noWrap w:val="0"/>
                  <w:vAlign w:val="center"/>
                </w:tcPr>
                <w:p>
                  <w:pPr>
                    <w:widowControl w:val="0"/>
                    <w:bidi w:val="0"/>
                    <w:spacing w:line="240" w:lineRule="auto"/>
                    <w:jc w:val="center"/>
                    <w:rPr>
                      <w:rFonts w:hint="eastAsia" w:ascii="Times New Roman" w:hAnsi="Times New Roman" w:eastAsia="宋体" w:cs="Times New Roman"/>
                      <w:color w:val="auto"/>
                      <w:highlight w:val="yellow"/>
                      <w:lang w:val="en-US" w:eastAsia="zh-CN"/>
                    </w:rPr>
                  </w:pPr>
                  <w:r>
                    <w:rPr>
                      <w:rFonts w:hint="eastAsia"/>
                      <w:color w:val="auto"/>
                      <w:sz w:val="21"/>
                      <w:szCs w:val="21"/>
                      <w:lang w:val="en-US" w:eastAsia="zh-CN"/>
                    </w:rPr>
                    <w:t>乙醇（</w:t>
                  </w:r>
                  <w:r>
                    <w:rPr>
                      <w:rFonts w:hint="default"/>
                      <w:color w:val="auto"/>
                      <w:sz w:val="21"/>
                      <w:szCs w:val="21"/>
                      <w:lang w:val="en-US" w:eastAsia="zh-CN"/>
                    </w:rPr>
                    <w:t>酒精</w:t>
                  </w:r>
                  <w:r>
                    <w:rPr>
                      <w:rFonts w:hint="eastAsia"/>
                      <w:color w:val="auto"/>
                      <w:sz w:val="21"/>
                      <w:szCs w:val="21"/>
                      <w:lang w:val="en-US" w:eastAsia="zh-CN"/>
                    </w:rPr>
                    <w:t>）</w:t>
                  </w:r>
                </w:p>
              </w:tc>
              <w:tc>
                <w:tcPr>
                  <w:tcW w:w="1534" w:type="dxa"/>
                  <w:noWrap w:val="0"/>
                  <w:vAlign w:val="center"/>
                </w:tcPr>
                <w:p>
                  <w:pPr>
                    <w:widowControl w:val="0"/>
                    <w:bidi w:val="0"/>
                    <w:spacing w:line="240" w:lineRule="auto"/>
                    <w:jc w:val="center"/>
                    <w:rPr>
                      <w:rFonts w:hint="default" w:ascii="Times New Roman" w:hAnsi="Times New Roman" w:eastAsia="宋体" w:cs="Times New Roman"/>
                      <w:color w:val="auto"/>
                      <w:highlight w:val="yellow"/>
                    </w:rPr>
                  </w:pPr>
                  <w:r>
                    <w:rPr>
                      <w:rFonts w:hint="default"/>
                      <w:color w:val="auto"/>
                      <w:sz w:val="21"/>
                      <w:szCs w:val="21"/>
                      <w:lang w:val="en-US" w:eastAsia="zh-CN"/>
                    </w:rPr>
                    <w:t>64-17-5</w:t>
                  </w:r>
                </w:p>
              </w:tc>
              <w:tc>
                <w:tcPr>
                  <w:tcW w:w="1534" w:type="dxa"/>
                  <w:noWrap w:val="0"/>
                  <w:vAlign w:val="center"/>
                </w:tcPr>
                <w:p>
                  <w:pPr>
                    <w:widowControl w:val="0"/>
                    <w:bidi w:val="0"/>
                    <w:spacing w:line="240" w:lineRule="auto"/>
                    <w:jc w:val="center"/>
                    <w:rPr>
                      <w:rFonts w:hint="default" w:ascii="Times New Roman" w:hAnsi="Times New Roman" w:eastAsia="宋体" w:cs="Times New Roman"/>
                      <w:color w:val="auto"/>
                      <w:highlight w:val="yellow"/>
                      <w:lang w:val="en-US" w:eastAsia="zh-CN"/>
                    </w:rPr>
                  </w:pPr>
                  <w:r>
                    <w:rPr>
                      <w:rFonts w:hint="eastAsia"/>
                      <w:color w:val="auto"/>
                      <w:sz w:val="21"/>
                      <w:szCs w:val="21"/>
                      <w:lang w:val="en-US" w:eastAsia="zh-CN"/>
                    </w:rPr>
                    <w:t>0.0079</w:t>
                  </w:r>
                </w:p>
              </w:tc>
              <w:tc>
                <w:tcPr>
                  <w:tcW w:w="1535" w:type="dxa"/>
                  <w:noWrap w:val="0"/>
                  <w:vAlign w:val="center"/>
                </w:tcPr>
                <w:p>
                  <w:pPr>
                    <w:widowControl w:val="0"/>
                    <w:bidi w:val="0"/>
                    <w:spacing w:line="240" w:lineRule="auto"/>
                    <w:jc w:val="center"/>
                    <w:rPr>
                      <w:rFonts w:hint="default" w:ascii="Times New Roman" w:hAnsi="Times New Roman" w:eastAsia="宋体" w:cs="Times New Roman"/>
                      <w:color w:val="auto"/>
                      <w:highlight w:val="yellow"/>
                    </w:rPr>
                  </w:pPr>
                  <w:r>
                    <w:rPr>
                      <w:rFonts w:hint="eastAsia"/>
                      <w:color w:val="auto"/>
                      <w:sz w:val="21"/>
                      <w:szCs w:val="21"/>
                      <w:lang w:val="en-US" w:eastAsia="zh-CN"/>
                    </w:rPr>
                    <w:t>500</w:t>
                  </w:r>
                </w:p>
              </w:tc>
              <w:tc>
                <w:tcPr>
                  <w:tcW w:w="1534" w:type="dxa"/>
                  <w:noWrap w:val="0"/>
                  <w:vAlign w:val="center"/>
                </w:tcPr>
                <w:p>
                  <w:pPr>
                    <w:widowControl w:val="0"/>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0.0000158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136" w:type="dxa"/>
                  <w:gridSpan w:val="4"/>
                  <w:noWrap w:val="0"/>
                  <w:vAlign w:val="center"/>
                </w:tcPr>
                <w:p>
                  <w:pPr>
                    <w:widowControl w:val="0"/>
                    <w:bidi w:val="0"/>
                    <w:spacing w:line="240" w:lineRule="auto"/>
                    <w:jc w:val="center"/>
                    <w:rPr>
                      <w:rFonts w:hint="eastAsia"/>
                      <w:color w:val="auto"/>
                      <w:sz w:val="21"/>
                      <w:szCs w:val="21"/>
                      <w:lang w:val="en-US" w:eastAsia="zh-CN"/>
                    </w:rPr>
                  </w:pPr>
                  <w:r>
                    <w:rPr>
                      <w:rFonts w:hint="default"/>
                      <w:color w:val="auto"/>
                      <w:sz w:val="21"/>
                      <w:szCs w:val="21"/>
                      <w:lang w:val="en-US" w:eastAsia="zh-CN"/>
                    </w:rPr>
                    <w:t>项目Q值</w:t>
                  </w:r>
                </w:p>
              </w:tc>
              <w:tc>
                <w:tcPr>
                  <w:tcW w:w="1534" w:type="dxa"/>
                  <w:noWrap w:val="0"/>
                  <w:vAlign w:val="center"/>
                </w:tcPr>
                <w:p>
                  <w:pPr>
                    <w:widowControl w:val="0"/>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0.0000428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670" w:type="dxa"/>
                  <w:gridSpan w:val="5"/>
                  <w:noWrap w:val="0"/>
                  <w:vAlign w:val="center"/>
                </w:tcPr>
                <w:p>
                  <w:pPr>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①医用药品中75%乙醇最大存在量为</w:t>
                  </w:r>
                  <w:r>
                    <w:rPr>
                      <w:rFonts w:hint="eastAsia" w:ascii="Times New Roman" w:hAnsi="Times New Roman" w:eastAsia="宋体" w:cs="Times New Roman"/>
                      <w:color w:val="auto"/>
                      <w:sz w:val="21"/>
                      <w:szCs w:val="21"/>
                      <w:lang w:val="en-US" w:eastAsia="zh-CN"/>
                    </w:rPr>
                    <w:t>0.01</w:t>
                  </w:r>
                  <w:r>
                    <w:rPr>
                      <w:rFonts w:hint="default" w:ascii="Times New Roman" w:hAnsi="Times New Roman" w:eastAsia="宋体" w:cs="Times New Roman"/>
                      <w:color w:val="auto"/>
                      <w:sz w:val="21"/>
                      <w:szCs w:val="21"/>
                      <w:lang w:val="en-US" w:eastAsia="zh-CN"/>
                    </w:rPr>
                    <w:t>t/a，折算为纯物质95%乙醇</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AR级无水乙醇是95%</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后，最大存在量为</w:t>
                  </w:r>
                  <w:r>
                    <w:rPr>
                      <w:rFonts w:hint="eastAsia" w:ascii="Times New Roman" w:hAnsi="Times New Roman" w:eastAsia="宋体" w:cs="Times New Roman"/>
                      <w:color w:val="auto"/>
                      <w:sz w:val="21"/>
                      <w:szCs w:val="21"/>
                      <w:lang w:val="en-US" w:eastAsia="zh-CN"/>
                    </w:rPr>
                    <w:t>0.0079</w:t>
                  </w:r>
                  <w:r>
                    <w:rPr>
                      <w:rFonts w:hint="default" w:ascii="Times New Roman" w:hAnsi="Times New Roman" w:eastAsia="宋体" w:cs="Times New Roman"/>
                      <w:color w:val="auto"/>
                      <w:sz w:val="21"/>
                      <w:szCs w:val="21"/>
                      <w:lang w:val="en-US" w:eastAsia="zh-CN"/>
                    </w:rPr>
                    <w:t>t/a；</w:t>
                  </w:r>
                </w:p>
                <w:p>
                  <w:pPr>
                    <w:bidi w:val="0"/>
                    <w:spacing w:line="240" w:lineRule="auto"/>
                    <w:rPr>
                      <w:rFonts w:hint="default" w:ascii="Times New Roman" w:hAnsi="Times New Roman" w:eastAsia="宋体" w:cs="Times New Roman"/>
                      <w:color w:val="auto"/>
                      <w:highlight w:val="yellow"/>
                      <w:lang w:val="en-US" w:eastAsia="zh-CN"/>
                    </w:rPr>
                  </w:pPr>
                  <w:r>
                    <w:rPr>
                      <w:rFonts w:hint="eastAsia" w:ascii="Times New Roman" w:eastAsia="宋体"/>
                      <w:color w:val="auto"/>
                      <w:sz w:val="21"/>
                      <w:szCs w:val="21"/>
                      <w:lang w:val="en-US" w:eastAsia="zh-CN"/>
                    </w:rPr>
                    <w:fldChar w:fldCharType="begin"/>
                  </w:r>
                  <w:r>
                    <w:rPr>
                      <w:rFonts w:hint="eastAsia" w:ascii="Times New Roman" w:eastAsia="宋体"/>
                      <w:color w:val="auto"/>
                      <w:sz w:val="21"/>
                      <w:szCs w:val="21"/>
                      <w:lang w:val="en-US" w:eastAsia="zh-CN"/>
                    </w:rPr>
                    <w:instrText xml:space="preserve"> = 2 \* GB3 \* MERGEFORMAT </w:instrText>
                  </w:r>
                  <w:r>
                    <w:rPr>
                      <w:rFonts w:hint="eastAsia" w:ascii="Times New Roman" w:eastAsia="宋体"/>
                      <w:color w:val="auto"/>
                      <w:sz w:val="21"/>
                      <w:szCs w:val="21"/>
                      <w:lang w:val="en-US" w:eastAsia="zh-CN"/>
                    </w:rPr>
                    <w:fldChar w:fldCharType="separate"/>
                  </w:r>
                  <w:r>
                    <w:rPr>
                      <w:color w:val="auto"/>
                      <w:sz w:val="21"/>
                      <w:szCs w:val="21"/>
                    </w:rPr>
                    <w:t>②</w:t>
                  </w:r>
                  <w:r>
                    <w:rPr>
                      <w:rFonts w:hint="eastAsia" w:ascii="Times New Roman" w:eastAsia="宋体"/>
                      <w:color w:val="auto"/>
                      <w:sz w:val="21"/>
                      <w:szCs w:val="21"/>
                      <w:lang w:val="en-US" w:eastAsia="zh-CN"/>
                    </w:rPr>
                    <w:fldChar w:fldCharType="end"/>
                  </w:r>
                  <w:r>
                    <w:rPr>
                      <w:rFonts w:hint="eastAsia" w:ascii="Times New Roman" w:eastAsia="宋体"/>
                      <w:color w:val="auto"/>
                      <w:sz w:val="21"/>
                      <w:szCs w:val="21"/>
                      <w:lang w:val="en-US" w:eastAsia="zh-CN"/>
                    </w:rPr>
                    <w:t>因《建设项目环境风险评价技术导则》（HJ169-2018）附录B未给出乙醇临界量，本次评价采用其引用临界量数据来源《企业突发环境事件风险分级方法》（HJ 941-2018）中乙醇临界量。</w:t>
                  </w:r>
                </w:p>
              </w:tc>
            </w:tr>
          </w:tbl>
          <w:p>
            <w:pPr>
              <w:widowControl w:val="0"/>
              <w:autoSpaceDE w:val="0"/>
              <w:autoSpaceDN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t>由上表可知项目Q值小=0.0000</w:t>
            </w:r>
            <w:r>
              <w:rPr>
                <w:rFonts w:hint="eastAsia" w:cs="Times New Roman"/>
                <w:color w:val="auto"/>
                <w:kern w:val="0"/>
                <w:sz w:val="24"/>
                <w:szCs w:val="20"/>
                <w:highlight w:val="none"/>
                <w:lang w:val="en-US" w:eastAsia="zh-CN" w:bidi="ar-SA"/>
              </w:rPr>
              <w:t>428</w:t>
            </w:r>
            <w:r>
              <w:rPr>
                <w:rFonts w:hint="default" w:ascii="Times New Roman" w:hAnsi="Times New Roman" w:eastAsia="宋体" w:cs="Times New Roman"/>
                <w:color w:val="auto"/>
                <w:kern w:val="0"/>
                <w:sz w:val="24"/>
                <w:szCs w:val="20"/>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根据《建设项目环境风险评价技术导则》（HJ169-2018）确定项目环境风险潜势为</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Ⅰ</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，环境风险评价内容为</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简单分析</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p>
          <w:p>
            <w:pPr>
              <w:widowControl w:val="0"/>
              <w:autoSpaceDE w:val="0"/>
              <w:autoSpaceDN w:val="0"/>
              <w:adjustRightInd w:val="0"/>
              <w:snapToGrid w:val="0"/>
              <w:spacing w:line="360" w:lineRule="auto"/>
              <w:ind w:firstLine="482" w:firstLineChars="200"/>
              <w:jc w:val="both"/>
              <w:textAlignment w:val="baseline"/>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2、环境风险识别与影响分析</w:t>
            </w:r>
          </w:p>
          <w:p>
            <w:pPr>
              <w:widowControl w:val="0"/>
              <w:autoSpaceDE w:val="0"/>
              <w:autoSpaceDN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kern w:val="2"/>
                <w:sz w:val="24"/>
                <w:szCs w:val="24"/>
                <w:lang w:val="en-US" w:eastAsia="zh-CN" w:bidi="ar-SA"/>
              </w:rPr>
              <w:t>项目运营过程中的安全事故或其他的一些突发性事故会导致环境风险物质泄漏到环境中，引起环境质量的下降甚至恶性循环化以及其他的环境毒性效应。</w:t>
            </w:r>
            <w:r>
              <w:rPr>
                <w:rFonts w:hint="default" w:ascii="Times New Roman" w:hAnsi="Times New Roman" w:eastAsia="宋体" w:cs="Times New Roman"/>
                <w:color w:val="auto"/>
                <w:sz w:val="24"/>
              </w:rPr>
              <w:t>本项目可能发生的风险是天然气</w:t>
            </w:r>
            <w:r>
              <w:rPr>
                <w:rFonts w:hint="eastAsia" w:cs="Times New Roman"/>
                <w:color w:val="auto"/>
                <w:sz w:val="24"/>
                <w:lang w:val="en-US" w:eastAsia="zh-CN"/>
              </w:rPr>
              <w:t>或乙醇（酒精）</w:t>
            </w:r>
            <w:r>
              <w:rPr>
                <w:rFonts w:hint="default" w:ascii="Times New Roman" w:hAnsi="Times New Roman" w:eastAsia="宋体" w:cs="Times New Roman"/>
                <w:color w:val="auto"/>
                <w:sz w:val="24"/>
              </w:rPr>
              <w:t>泄漏</w:t>
            </w:r>
            <w:r>
              <w:rPr>
                <w:rFonts w:hint="default" w:ascii="Times New Roman" w:hAnsi="Times New Roman" w:eastAsia="宋体" w:cs="Times New Roman"/>
                <w:color w:val="auto"/>
                <w:sz w:val="24"/>
                <w:lang w:eastAsia="zh-CN"/>
              </w:rPr>
              <w:t>及泄露</w:t>
            </w:r>
            <w:r>
              <w:rPr>
                <w:rFonts w:hint="default" w:ascii="Times New Roman" w:hAnsi="Times New Roman" w:eastAsia="宋体" w:cs="Times New Roman"/>
                <w:color w:val="auto"/>
                <w:sz w:val="24"/>
              </w:rPr>
              <w:t>遇明火造成的火灾事故。</w:t>
            </w:r>
          </w:p>
          <w:p>
            <w:pPr>
              <w:widowControl w:val="0"/>
              <w:autoSpaceDE w:val="0"/>
              <w:autoSpaceDN w:val="0"/>
              <w:adjustRightInd w:val="0"/>
              <w:snapToGrid w:val="0"/>
              <w:spacing w:line="360" w:lineRule="auto"/>
              <w:ind w:firstLine="482" w:firstLineChars="200"/>
              <w:jc w:val="both"/>
              <w:textAlignment w:val="baseline"/>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3、风险防范措施</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）天然气泄漏风险防范措施</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天然气发生泄漏时，当空气中的甲烷达25-30%时，将造成人体不适感，甚至是窒息死亡。</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lang w:eastAsia="zh-CN"/>
              </w:rPr>
              <w:t>锅炉房工作人员应严格按锅炉操作规程进行操作，同时锅炉房内安装便携式的天然气泄漏检测设备和仪器，一旦发生泄漏，应及时关闭天然气阀门，并迅速撤离。</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预警系统按照可燃气体的探测要求应在锅炉房等使用天然气的建筑物内部安装固定式天然气泄漏报警器，一旦发生天然气泄漏事故，天然气泄漏浓度达到报警点时，报警器开始报警，同时公司配备便携式可燃气体报警器，工作人员可随身携带，检测不同地点的可燃气体浓度。</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③加强巡查管理，及时发现泄漏情况便于及时处理。</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④在易燃易爆区域配备必要的消防器材及消防工具，如干粉灭火器等，</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对这些器材应配备专人保管，定期检查，以备事故时急用。</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⑤加强通风，防止有毒物质浓度过高引起中毒。</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⑥消防器材按安全规定放置。消防器材设置在明显和便于取用的地点，周围不准堆放物品及杂物。消防器材有专人管理、负责、检查、修理、保养、更换和添置，保证完好存放。</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火灾事故防范措施：</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严格按照有关建筑防火规范和《爆炸和火灾危险环境电力装置设计规范》进行设计；加大宣传教育力度，增强工作人员的整体消防安全意识。参加社会消防安全知识培训，提高广大职工的消防安全意识，使其掌握防火、灭火、逃生的基础知识；规范运营，制定安全运营管理制度，严禁厂区使用明火。</w:t>
            </w:r>
          </w:p>
          <w:p>
            <w:pPr>
              <w:adjustRightInd w:val="0"/>
              <w:snapToGrid w:val="0"/>
              <w:spacing w:line="360" w:lineRule="auto"/>
              <w:ind w:firstLine="480" w:firstLineChars="20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（3）乙醇泄漏风险</w:t>
            </w:r>
            <w:r>
              <w:rPr>
                <w:rFonts w:hint="default" w:ascii="Times New Roman" w:hAnsi="Times New Roman" w:eastAsia="宋体" w:cs="Times New Roman"/>
                <w:color w:val="auto"/>
                <w:sz w:val="24"/>
              </w:rPr>
              <w:t>防范措施</w:t>
            </w:r>
          </w:p>
          <w:p>
            <w:pPr>
              <w:adjustRightInd w:val="0"/>
              <w:snapToGrid w:val="0"/>
              <w:spacing w:line="360" w:lineRule="auto"/>
              <w:ind w:firstLine="480" w:firstLineChars="20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本项目乙醇（酒精）储存量小，使用桶装（20L），在消毒更衣间储存过程中有人定期清点，发生泄漏的概率很小，且发生泄漏后能及时发现，及时处理，环境风险影响总体较小。</w:t>
            </w:r>
          </w:p>
          <w:p>
            <w:pPr>
              <w:spacing w:line="360" w:lineRule="auto"/>
              <w:ind w:firstLine="48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rPr>
              <w:t>建设项目环境风险简单分析内容表</w:t>
            </w:r>
          </w:p>
          <w:p>
            <w:pPr>
              <w:spacing w:line="360" w:lineRule="auto"/>
              <w:ind w:left="-89" w:leftChars="-37"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按照HJ169-2018附录A环境风险评价简单分析内容要求，简单分析基本内容见表4-</w:t>
            </w:r>
            <w:r>
              <w:rPr>
                <w:rFonts w:hint="eastAsia" w:cs="Times New Roman"/>
                <w:bCs/>
                <w:color w:val="auto"/>
                <w:sz w:val="24"/>
                <w:lang w:val="en-US" w:eastAsia="zh-CN"/>
              </w:rPr>
              <w:t>22</w:t>
            </w:r>
            <w:r>
              <w:rPr>
                <w:rFonts w:hint="default" w:ascii="Times New Roman" w:hAnsi="Times New Roman" w:eastAsia="宋体" w:cs="Times New Roman"/>
                <w:bCs/>
                <w:color w:val="auto"/>
                <w:sz w:val="24"/>
              </w:rPr>
              <w:t>。</w:t>
            </w:r>
          </w:p>
          <w:p>
            <w:pPr>
              <w:adjustRightInd w:val="0"/>
              <w:snapToGrid w:val="0"/>
              <w:spacing w:line="36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cs="Times New Roman"/>
                <w:b/>
                <w:color w:val="auto"/>
                <w:sz w:val="24"/>
                <w:lang w:val="en-US" w:eastAsia="zh-CN"/>
              </w:rPr>
              <w:t>22</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建设项目环境风险简单分析内容表</w:t>
            </w:r>
          </w:p>
          <w:tbl>
            <w:tblPr>
              <w:tblStyle w:val="24"/>
              <w:tblW w:w="767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5"/>
              <w:gridCol w:w="1144"/>
              <w:gridCol w:w="1061"/>
              <w:gridCol w:w="858"/>
              <w:gridCol w:w="25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2075"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建设项目名称</w:t>
                  </w:r>
                </w:p>
              </w:tc>
              <w:tc>
                <w:tcPr>
                  <w:tcW w:w="5595" w:type="dxa"/>
                  <w:gridSpan w:val="4"/>
                  <w:noWrap w:val="0"/>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浆水酸菜及衍生品生产项目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5"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建设地点</w:t>
                  </w:r>
                </w:p>
              </w:tc>
              <w:tc>
                <w:tcPr>
                  <w:tcW w:w="1144"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甘肃省</w:t>
                  </w:r>
                </w:p>
              </w:tc>
              <w:tc>
                <w:tcPr>
                  <w:tcW w:w="1061"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临夏州</w:t>
                  </w:r>
                </w:p>
              </w:tc>
              <w:tc>
                <w:tcPr>
                  <w:tcW w:w="858"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和政县</w:t>
                  </w:r>
                </w:p>
              </w:tc>
              <w:tc>
                <w:tcPr>
                  <w:tcW w:w="2532" w:type="dxa"/>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和政循环经济产业园区辐照产业园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5" w:type="dxa"/>
                  <w:vMerge w:val="restart"/>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地理坐标</w:t>
                  </w:r>
                </w:p>
              </w:tc>
              <w:tc>
                <w:tcPr>
                  <w:tcW w:w="1144"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经度</w:t>
                  </w:r>
                </w:p>
              </w:tc>
              <w:tc>
                <w:tcPr>
                  <w:tcW w:w="4451" w:type="dxa"/>
                  <w:gridSpan w:val="3"/>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103.365549043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5" w:type="dxa"/>
                  <w:vMerge w:val="continue"/>
                  <w:noWrap w:val="0"/>
                  <w:vAlign w:val="center"/>
                </w:tcPr>
                <w:p>
                  <w:pPr>
                    <w:pStyle w:val="32"/>
                    <w:bidi w:val="0"/>
                    <w:rPr>
                      <w:rFonts w:hint="default" w:ascii="Times New Roman" w:hAnsi="Times New Roman" w:eastAsia="宋体" w:cs="Times New Roman"/>
                      <w:color w:val="auto"/>
                    </w:rPr>
                  </w:pPr>
                </w:p>
              </w:tc>
              <w:tc>
                <w:tcPr>
                  <w:tcW w:w="1144"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纬度</w:t>
                  </w:r>
                </w:p>
              </w:tc>
              <w:tc>
                <w:tcPr>
                  <w:tcW w:w="4451" w:type="dxa"/>
                  <w:gridSpan w:val="3"/>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35.412288725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5"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主要危险物质</w:t>
                  </w:r>
                </w:p>
              </w:tc>
              <w:tc>
                <w:tcPr>
                  <w:tcW w:w="5595" w:type="dxa"/>
                  <w:gridSpan w:val="4"/>
                  <w:noWrap w:val="0"/>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天然气（甲烷）</w:t>
                  </w:r>
                  <w:r>
                    <w:rPr>
                      <w:rFonts w:hint="eastAsia" w:cs="Times New Roman"/>
                      <w:color w:val="auto"/>
                      <w:lang w:val="en-US" w:eastAsia="zh-CN"/>
                    </w:rPr>
                    <w:t>、酒精（乙醇）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5"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环境影响途径及危害后果</w:t>
                  </w:r>
                </w:p>
              </w:tc>
              <w:tc>
                <w:tcPr>
                  <w:tcW w:w="5595" w:type="dxa"/>
                  <w:gridSpan w:val="4"/>
                  <w:noWrap w:val="0"/>
                  <w:vAlign w:val="center"/>
                </w:tcPr>
                <w:p>
                  <w:pPr>
                    <w:pStyle w:val="32"/>
                    <w:bidi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本项目风险源为管线中暂存的天然气</w:t>
                  </w:r>
                  <w:r>
                    <w:rPr>
                      <w:rFonts w:hint="eastAsia" w:cs="Times New Roman"/>
                      <w:color w:val="auto"/>
                      <w:lang w:val="en-US" w:eastAsia="zh-CN"/>
                    </w:rPr>
                    <w:t>以及消毒更衣间的乙醇（酒精）</w:t>
                  </w:r>
                  <w:r>
                    <w:rPr>
                      <w:rFonts w:hint="default" w:ascii="Times New Roman" w:hAnsi="Times New Roman" w:eastAsia="宋体" w:cs="Times New Roman"/>
                      <w:color w:val="auto"/>
                    </w:rPr>
                    <w:t>，若输气管道出现阀门损坏、破裂等，将出现甲烷大量泄漏，并引起火灾爆炸等事故风险，通过环境空气、水环境等影响环境，且短时间不易消除。</w:t>
                  </w:r>
                  <w:r>
                    <w:rPr>
                      <w:rFonts w:hint="eastAsia" w:cs="Times New Roman"/>
                      <w:color w:val="auto"/>
                      <w:lang w:val="en-US" w:eastAsia="zh-CN"/>
                    </w:rPr>
                    <w:t>酒精容器破损、酒精泄露遇明火</w:t>
                  </w:r>
                  <w:r>
                    <w:rPr>
                      <w:rFonts w:hint="default" w:ascii="Times New Roman" w:hAnsi="Times New Roman" w:eastAsia="宋体" w:cs="Times New Roman"/>
                      <w:color w:val="auto"/>
                    </w:rPr>
                    <w:t>并引起火灾</w:t>
                  </w:r>
                  <w:r>
                    <w:rPr>
                      <w:rFonts w:hint="eastAsia" w:cs="Times New Roman"/>
                      <w:color w:val="auto"/>
                      <w:lang w:eastAsia="zh-CN"/>
                    </w:rPr>
                    <w:t>，</w:t>
                  </w:r>
                  <w:r>
                    <w:rPr>
                      <w:rFonts w:hint="default" w:ascii="Times New Roman" w:hAnsi="Times New Roman" w:eastAsia="宋体" w:cs="Times New Roman"/>
                      <w:color w:val="auto"/>
                    </w:rPr>
                    <w:t>通过环境空气、水环境等影响环境，且短时间不易消除。</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5" w:type="dxa"/>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风险防范措施要求</w:t>
                  </w:r>
                </w:p>
              </w:tc>
              <w:tc>
                <w:tcPr>
                  <w:tcW w:w="5595" w:type="dxa"/>
                  <w:gridSpan w:val="4"/>
                  <w:noWrap w:val="0"/>
                  <w:vAlign w:val="center"/>
                </w:tcPr>
                <w:p>
                  <w:pPr>
                    <w:pStyle w:val="32"/>
                    <w:bidi w:val="0"/>
                    <w:rPr>
                      <w:rFonts w:hint="default" w:ascii="Times New Roman" w:hAnsi="Times New Roman" w:eastAsia="宋体" w:cs="Times New Roman"/>
                      <w:color w:val="auto"/>
                    </w:rPr>
                  </w:pPr>
                  <w:r>
                    <w:rPr>
                      <w:rFonts w:hint="default" w:ascii="Times New Roman" w:hAnsi="Times New Roman" w:eastAsia="宋体" w:cs="Times New Roman"/>
                      <w:color w:val="auto"/>
                    </w:rPr>
                    <w:t>见</w:t>
                  </w:r>
                  <w:r>
                    <w:rPr>
                      <w:rFonts w:hint="default" w:ascii="Times New Roman" w:hAnsi="Times New Roman" w:eastAsia="宋体" w:cs="Times New Roman"/>
                      <w:color w:val="auto"/>
                      <w:lang w:eastAsia="zh-CN"/>
                    </w:rPr>
                    <w:t>上</w:t>
                  </w:r>
                  <w:r>
                    <w:rPr>
                      <w:rFonts w:hint="default" w:ascii="Times New Roman" w:hAnsi="Times New Roman" w:eastAsia="宋体" w:cs="Times New Roman"/>
                      <w:color w:val="auto"/>
                    </w:rPr>
                    <w:t>文风险防范措施</w:t>
                  </w:r>
                </w:p>
              </w:tc>
            </w:tr>
          </w:tbl>
          <w:p>
            <w:pPr>
              <w:adjustRightInd w:val="0"/>
              <w:snapToGrid w:val="0"/>
              <w:spacing w:before="120" w:beforeLines="50" w:line="360" w:lineRule="auto"/>
              <w:ind w:firstLine="482"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七</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color w:val="auto"/>
                <w:kern w:val="0"/>
                <w:sz w:val="24"/>
                <w:szCs w:val="24"/>
                <w:lang w:bidi="ar"/>
              </w:rPr>
              <w:t>环境管理</w:t>
            </w:r>
            <w:r>
              <w:rPr>
                <w:rFonts w:hint="default" w:ascii="Times New Roman" w:hAnsi="Times New Roman" w:eastAsia="宋体" w:cs="Times New Roman"/>
                <w:b/>
                <w:color w:val="auto"/>
              </w:rPr>
              <w:t>与监控计划</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0"/>
                <w:sz w:val="24"/>
                <w:szCs w:val="24"/>
                <w:lang w:bidi="ar"/>
              </w:rPr>
              <w:t>1、建立环境保护管理组织和机构，指定专人或兼职环保管理人员，落实各级环保责任。</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0"/>
                <w:sz w:val="24"/>
                <w:szCs w:val="24"/>
                <w:lang w:bidi="ar"/>
              </w:rPr>
              <w:t>2、对产污工序的工人和班组长进行上岗前的环保知识法规教育及操作规程的培训，使各项环保设施的操作规范化，保证环保设施的正常运转。</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3、落实环境监测工作，重点是各污染源的监测，并注意做好记录，不弄虚作假；</w:t>
            </w:r>
          </w:p>
          <w:p>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eastAsia="zh-CN" w:bidi="ar"/>
              </w:rPr>
            </w:pPr>
            <w:r>
              <w:rPr>
                <w:rFonts w:hint="default" w:ascii="Times New Roman" w:hAnsi="Times New Roman" w:eastAsia="宋体" w:cs="Times New Roman"/>
                <w:color w:val="auto"/>
                <w:kern w:val="0"/>
                <w:sz w:val="24"/>
                <w:szCs w:val="24"/>
                <w:lang w:bidi="ar"/>
              </w:rPr>
              <w:t>4、建立污染事故报告制度。当污染事故发生时，必须在事故发生二十四小时内，向生态环境主管部门作出事故发生的时间、地点、类型和排放污染物的数量、经济损失等情况的初步报告，事故查清后，向区环境主管部门面报告事故的原因，采取的措施，处理结果，并附有关证明。若发生污染事故，则有责任排除危害，同时对直接受到损害的单位或个人赔偿损失。</w:t>
            </w:r>
          </w:p>
          <w:p>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5、建立突发环境事件应急预案，配备相关应急器材，定期开展演练。</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结合本项目运营特点与实际情况，本项目环境管理纳入</w:t>
            </w:r>
            <w:r>
              <w:rPr>
                <w:rFonts w:hint="default" w:ascii="Times New Roman" w:hAnsi="Times New Roman" w:eastAsia="宋体" w:cs="Times New Roman"/>
                <w:color w:val="auto"/>
                <w:kern w:val="0"/>
                <w:sz w:val="24"/>
                <w:lang w:eastAsia="zh-CN"/>
              </w:rPr>
              <w:t>秦安</w:t>
            </w:r>
            <w:r>
              <w:rPr>
                <w:rFonts w:hint="default" w:ascii="Times New Roman" w:hAnsi="Times New Roman" w:eastAsia="宋体" w:cs="Times New Roman"/>
                <w:color w:val="auto"/>
                <w:sz w:val="24"/>
                <w:szCs w:val="24"/>
                <w:lang w:val="en-US" w:eastAsia="zh-CN"/>
              </w:rPr>
              <w:t>县民政局</w:t>
            </w:r>
            <w:r>
              <w:rPr>
                <w:rFonts w:hint="default" w:ascii="Times New Roman" w:hAnsi="Times New Roman" w:eastAsia="宋体" w:cs="Times New Roman"/>
                <w:color w:val="auto"/>
                <w:kern w:val="0"/>
                <w:sz w:val="24"/>
              </w:rPr>
              <w:t>的环境管理范畴，要求建设单位专门的环境管理机构，设总负责人1名，负责该项目运营期间的环境管理工作。同时，环境管理机构应接受当地生态环境主管部门的监督和指导，按照国家环保法规和标准等及时监督和掌握污染动态变化情况。</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（1）环境管理原则</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环境管理要确定正确的环境管理原则，具体如下：</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①坚持法制原则和可持续发展的原则；</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②坚持</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开发促保护，保护为开发</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的原则；</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③坚持经济、社会、环境协调统一的原则。</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（2）环境管理制度</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本次环评要求</w:t>
            </w:r>
            <w:r>
              <w:rPr>
                <w:rFonts w:hint="default" w:ascii="Times New Roman" w:hAnsi="Times New Roman" w:eastAsia="宋体" w:cs="Times New Roman"/>
                <w:color w:val="auto"/>
                <w:kern w:val="0"/>
                <w:sz w:val="24"/>
                <w:lang w:val="en-US" w:eastAsia="zh-CN"/>
              </w:rPr>
              <w:t>建设单位</w:t>
            </w:r>
            <w:r>
              <w:rPr>
                <w:rFonts w:hint="default" w:ascii="Times New Roman" w:hAnsi="Times New Roman" w:eastAsia="宋体" w:cs="Times New Roman"/>
                <w:color w:val="auto"/>
                <w:kern w:val="0"/>
                <w:sz w:val="24"/>
              </w:rPr>
              <w:t>制定环境管理制度</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主要包括以下几方面内容：</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①环境管理责任制，即由成立的环境管理机构总负责人负责运营期环境管理工作。</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②环境监测制度，即建立完善的环境监测体系，对</w:t>
            </w:r>
            <w:r>
              <w:rPr>
                <w:rFonts w:hint="default" w:ascii="Times New Roman" w:hAnsi="Times New Roman" w:eastAsia="宋体" w:cs="Times New Roman"/>
                <w:color w:val="auto"/>
                <w:kern w:val="0"/>
                <w:sz w:val="24"/>
                <w:lang w:val="en-US" w:eastAsia="zh-CN"/>
              </w:rPr>
              <w:t>废气、</w:t>
            </w:r>
            <w:r>
              <w:rPr>
                <w:rFonts w:hint="default" w:ascii="Times New Roman" w:hAnsi="Times New Roman" w:eastAsia="宋体" w:cs="Times New Roman"/>
                <w:color w:val="auto"/>
                <w:kern w:val="0"/>
                <w:sz w:val="24"/>
              </w:rPr>
              <w:t>噪声等进行监测。</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③污染治理制度，即对废气、噪声、废水和固体废物采取切实有效的污染防治措施。</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④设备维护制度，即对主要环保设施、重要环节进行维护检修，杜绝意外事故排放。</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⑤资料存档上报制度，即对环保资料和数据等进行存档管理，并定期向上级汇报。</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⑥宣传教育制度，加强环保宣传教育，强化职工清洁生产和环境保护教育的意识。</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（3）环境管理内容</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项目设立的环境管理机构的环境管理职责主要包括以下几方面内容：</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①建立完善的环境管理组织机构及管理体系，健全各项环保制度；宣传、贯彻执行国家及地方的环境保护法律、法规和条例，并监督有关部门的执行情况。</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②制定详细的设备或设施维护管理计划，确保生产设备和环保设施正常运行；委托有能力的单位定期对污染物排放情况进行监测，确保各污染物能达标排放。</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③建立完善的污染源档案，环评资料、监测报告等存档备查；接受当地环保主管部门的监督和指导，并与当地环保部门保持联络，定期通报环境监测结果。</w:t>
            </w:r>
          </w:p>
          <w:p>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kern w:val="0"/>
                <w:sz w:val="24"/>
              </w:rPr>
              <w:t>④组织开展清洁生产、环境保护的宣传教育和培训工作，提高全体职工的环境保护意识；接受个人或组织的环保投诉，并负责对投诉事件进行妥善地处理。</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SA"/>
              </w:rPr>
            </w:pPr>
            <w:r>
              <w:rPr>
                <w:rFonts w:hint="eastAsia" w:cs="Times New Roman"/>
                <w:b/>
                <w:snapToGrid w:val="0"/>
                <w:color w:val="auto"/>
                <w:kern w:val="0"/>
                <w:sz w:val="24"/>
                <w:szCs w:val="24"/>
                <w:lang w:val="en-US" w:eastAsia="zh-CN" w:bidi="ar-SA"/>
              </w:rPr>
              <w:t>八</w:t>
            </w:r>
            <w:r>
              <w:rPr>
                <w:rFonts w:hint="default" w:ascii="Times New Roman" w:hAnsi="Times New Roman" w:eastAsia="宋体" w:cs="Times New Roman"/>
                <w:b/>
                <w:snapToGrid w:val="0"/>
                <w:color w:val="auto"/>
                <w:kern w:val="0"/>
                <w:sz w:val="24"/>
                <w:szCs w:val="24"/>
                <w:lang w:val="en-US" w:eastAsia="zh-CN" w:bidi="ar-SA"/>
              </w:rPr>
              <w:t>、</w:t>
            </w:r>
            <w:r>
              <w:rPr>
                <w:rFonts w:hint="default" w:ascii="Times New Roman" w:hAnsi="Times New Roman" w:eastAsia="宋体" w:cs="Times New Roman"/>
                <w:b/>
                <w:bCs/>
                <w:color w:val="auto"/>
                <w:kern w:val="0"/>
                <w:sz w:val="24"/>
                <w:szCs w:val="24"/>
                <w:lang w:val="en-US" w:eastAsia="zh-CN" w:bidi="ar-SA"/>
              </w:rPr>
              <w:t>排污口规范化</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根据国家标准《环境保护图形标志—排放口（源）》（GB155621-1995）和</w:t>
            </w:r>
            <w:r>
              <w:rPr>
                <w:rFonts w:hint="default" w:ascii="Times New Roman" w:hAnsi="Times New Roman" w:eastAsia="宋体" w:cs="Times New Roman"/>
                <w:color w:val="auto"/>
                <w:kern w:val="0"/>
                <w:sz w:val="24"/>
                <w:szCs w:val="24"/>
                <w:lang w:val="en-US" w:eastAsia="zh-CN" w:bidi="ar"/>
              </w:rPr>
              <w:t>《关于印发排放口标志牌技术规格的通知》（环办〔2003〕95号）中</w:t>
            </w:r>
            <w:r>
              <w:rPr>
                <w:rFonts w:hint="default" w:ascii="Times New Roman" w:hAnsi="Times New Roman" w:eastAsia="宋体" w:cs="Times New Roman"/>
                <w:color w:val="auto"/>
                <w:kern w:val="0"/>
                <w:sz w:val="24"/>
                <w:szCs w:val="24"/>
                <w:lang w:val="en-US" w:eastAsia="zh-CN" w:bidi="ar-SA"/>
              </w:rPr>
              <w:t>的相关技术要求，建设项目所有排放口，包括水、气、声、固体废物，必须按照</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便于计量监测、便于日常现场监督检查</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的原则和规范化要求，设置与之相适应的环境保护图形标志牌，绘制建设项目排污口分布图。排污口的规范化建设要符合当地环境主管部门的有关要求。</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⑴排污口标志设置要求</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①污染物排放口的环保图形标志牌应设置在靠近采样点，且醒目处，标志牌设置高度为其上边缘距离地面约2m；</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②重点排污单位的污染物排放口以设置立式标志牌为主，一般排污单位的污染物排放口，可根据情况设置立式或平面固定式标志牌。</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⑵排</w:t>
            </w:r>
            <w:bookmarkStart w:id="3" w:name="_Toc62117897"/>
            <w:r>
              <w:rPr>
                <w:rFonts w:hint="default" w:ascii="Times New Roman" w:hAnsi="Times New Roman" w:eastAsia="宋体" w:cs="Times New Roman"/>
                <w:color w:val="auto"/>
                <w:sz w:val="24"/>
                <w:lang w:eastAsia="zh-CN"/>
              </w:rPr>
              <w:t>污口管理</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①管</w:t>
            </w:r>
            <w:bookmarkEnd w:id="3"/>
            <w:r>
              <w:rPr>
                <w:rFonts w:hint="default" w:ascii="Times New Roman" w:hAnsi="Times New Roman" w:eastAsia="宋体" w:cs="Times New Roman"/>
                <w:color w:val="auto"/>
                <w:sz w:val="24"/>
                <w:lang w:eastAsia="zh-CN"/>
              </w:rPr>
              <w:t>理原则</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排污口是企业污染物进入环境，污染环境的通道，强化排污口的管理是实施污染物总量控制的基础工作之一，也是区域环境管理逐步实现污染物排放科学化、定量化的重要手段。</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具体管理原则如下：</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a. 向环境排放的污染物的排放口必须规范化。</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b. 列入总量控制的污染物排放源列为管理的重点。</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c.如实向环保管理部门申报排污口数量、位置及所排放的主要污染物种类、数量、浓度、排放去向等情况。</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d. 废气排气装置应设置便于采样、监测的采样孔和采样平台，设置应符合《污染源监测技术规范》。</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②排放源建档</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a. 拟建项目应使用</w:t>
            </w:r>
            <w:r>
              <w:rPr>
                <w:rFonts w:hint="default" w:ascii="Times New Roman" w:hAnsi="Times New Roman" w:eastAsia="宋体" w:cs="Times New Roman"/>
                <w:color w:val="auto"/>
                <w:sz w:val="24"/>
                <w:lang w:val="en-US" w:eastAsia="zh-CN"/>
              </w:rPr>
              <w:t>满足规范要求的排污口标志牌</w:t>
            </w:r>
            <w:r>
              <w:rPr>
                <w:rFonts w:hint="default" w:ascii="Times New Roman" w:hAnsi="Times New Roman" w:eastAsia="宋体" w:cs="Times New Roman"/>
                <w:color w:val="auto"/>
                <w:sz w:val="24"/>
                <w:lang w:eastAsia="zh-CN"/>
              </w:rPr>
              <w:t>，并按要求填写有关内容；</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0"/>
                <w:lang w:val="en-US" w:eastAsia="zh-CN" w:bidi="ar-SA"/>
              </w:rPr>
              <w:t>b. 根据排污口管理内容要求，项目环保措施完善后，应将主要污染物种类、数量、浓度、排放去向，立标情况及设施运行情况记录于档案。</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jc w:val="left"/>
              <w:textAlignment w:val="auto"/>
              <w:rPr>
                <w:rFonts w:hint="default" w:ascii="Times New Roman" w:hAnsi="Times New Roman" w:eastAsia="宋体" w:cs="Times New Roman"/>
                <w:b/>
                <w:snapToGrid w:val="0"/>
                <w:color w:val="auto"/>
                <w:kern w:val="0"/>
                <w:sz w:val="24"/>
                <w:szCs w:val="24"/>
                <w:lang w:val="en-US" w:eastAsia="zh-CN" w:bidi="ar-SA"/>
              </w:rPr>
            </w:pPr>
            <w:r>
              <w:rPr>
                <w:rFonts w:hint="eastAsia" w:cs="Times New Roman"/>
                <w:b/>
                <w:snapToGrid w:val="0"/>
                <w:color w:val="auto"/>
                <w:kern w:val="0"/>
                <w:sz w:val="24"/>
                <w:szCs w:val="24"/>
                <w:lang w:val="en-US" w:eastAsia="zh-CN" w:bidi="ar-SA"/>
              </w:rPr>
              <w:t>九</w:t>
            </w:r>
            <w:r>
              <w:rPr>
                <w:rFonts w:hint="default" w:ascii="Times New Roman" w:hAnsi="Times New Roman" w:eastAsia="宋体" w:cs="Times New Roman"/>
                <w:b/>
                <w:snapToGrid w:val="0"/>
                <w:color w:val="auto"/>
                <w:kern w:val="0"/>
                <w:sz w:val="24"/>
                <w:szCs w:val="24"/>
                <w:lang w:val="en-US" w:eastAsia="zh-CN" w:bidi="ar-SA"/>
              </w:rPr>
              <w:t>、排污许可管理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项目建成</w:t>
            </w:r>
            <w:r>
              <w:rPr>
                <w:rFonts w:hint="default" w:ascii="Times New Roman" w:hAnsi="Times New Roman" w:eastAsia="宋体" w:cs="Times New Roman"/>
                <w:color w:val="auto"/>
                <w:sz w:val="24"/>
                <w:szCs w:val="24"/>
                <w:lang w:val="en-US" w:eastAsia="zh-CN"/>
              </w:rPr>
              <w:t>后应</w:t>
            </w:r>
            <w:r>
              <w:rPr>
                <w:rFonts w:hint="default" w:ascii="Times New Roman" w:hAnsi="Times New Roman" w:eastAsia="宋体" w:cs="Times New Roman"/>
                <w:snapToGrid w:val="0"/>
                <w:color w:val="auto"/>
                <w:sz w:val="24"/>
                <w:szCs w:val="24"/>
              </w:rPr>
              <w:t>根据《固定污染源排污许可分类管理名录（2019版）》（部令第11号，2019年12月20日），</w:t>
            </w:r>
            <w:r>
              <w:rPr>
                <w:rFonts w:hint="default" w:ascii="Times New Roman" w:hAnsi="Times New Roman" w:eastAsia="宋体" w:cs="Times New Roman"/>
                <w:color w:val="auto"/>
                <w:sz w:val="24"/>
                <w:szCs w:val="24"/>
              </w:rPr>
              <w:t>进行企业的排污许可相关工作，建设单位应当在全国排污许可证管理信息平台上填报并提交排污许可证申请，同时向核发环保部门提交通过全国排污许可证管理信息平台印制的书面申请材料</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snapToGrid w:val="0"/>
                <w:color w:val="auto"/>
                <w:sz w:val="24"/>
                <w:szCs w:val="24"/>
              </w:rPr>
              <w:t>做到依法持证排污。</w:t>
            </w:r>
          </w:p>
          <w:p>
            <w:pPr>
              <w:widowControl/>
              <w:adjustRightInd w:val="0"/>
              <w:snapToGrid w:val="0"/>
              <w:spacing w:before="0" w:beforeAutospacing="0" w:after="0" w:afterAutospacing="0" w:line="360" w:lineRule="auto"/>
              <w:ind w:firstLine="480" w:firstLineChars="200"/>
              <w:jc w:val="left"/>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建设项目竣工环境保护验收暂行办法》，纳入排污许可管理的建设项目，无证排污或者不按证排污的，建设单位不得提出验收合格的意见。故建设单位应在竣工环境保护验收前完成排污许可证申请填报工作。</w:t>
            </w:r>
          </w:p>
          <w:p>
            <w:pPr>
              <w:widowControl/>
              <w:adjustRightInd w:val="0"/>
              <w:snapToGrid w:val="0"/>
              <w:spacing w:before="0" w:beforeAutospacing="0" w:after="0" w:afterAutospacing="0" w:line="360" w:lineRule="auto"/>
              <w:ind w:firstLine="482" w:firstLineChars="200"/>
              <w:jc w:val="left"/>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b/>
                <w:snapToGrid w:val="0"/>
                <w:color w:val="auto"/>
                <w:kern w:val="0"/>
                <w:sz w:val="24"/>
                <w:szCs w:val="24"/>
                <w:lang w:val="en-US" w:eastAsia="zh-CN" w:bidi="ar-SA"/>
              </w:rPr>
              <w:t>十、环保投资</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环保投资</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42.5</w:t>
            </w:r>
            <w:r>
              <w:rPr>
                <w:rFonts w:hint="default" w:ascii="Times New Roman" w:hAnsi="Times New Roman" w:eastAsia="宋体" w:cs="Times New Roman"/>
                <w:color w:val="auto"/>
                <w:sz w:val="24"/>
                <w:szCs w:val="24"/>
              </w:rPr>
              <w:t>万元，占总投资</w:t>
            </w:r>
            <w:r>
              <w:rPr>
                <w:rFonts w:hint="default" w:ascii="Times New Roman" w:hAnsi="Times New Roman" w:eastAsia="宋体" w:cs="Times New Roman"/>
                <w:color w:val="auto"/>
                <w:sz w:val="24"/>
                <w:szCs w:val="24"/>
                <w:lang w:val="en-US" w:eastAsia="zh-CN"/>
              </w:rPr>
              <w:t>2000</w:t>
            </w:r>
            <w:r>
              <w:rPr>
                <w:rFonts w:hint="default" w:ascii="Times New Roman" w:hAnsi="Times New Roman" w:eastAsia="宋体" w:cs="Times New Roman"/>
                <w:color w:val="auto"/>
                <w:sz w:val="24"/>
                <w:szCs w:val="24"/>
              </w:rPr>
              <w:t>万元的</w:t>
            </w:r>
            <w:r>
              <w:rPr>
                <w:rFonts w:hint="eastAsia" w:cs="Times New Roman"/>
                <w:color w:val="auto"/>
                <w:sz w:val="24"/>
                <w:szCs w:val="24"/>
                <w:lang w:val="en-US" w:eastAsia="zh-CN"/>
              </w:rPr>
              <w:t>2.1</w:t>
            </w:r>
            <w:r>
              <w:rPr>
                <w:rFonts w:hint="default" w:ascii="Times New Roman" w:hAnsi="Times New Roman" w:eastAsia="宋体" w:cs="Times New Roman"/>
                <w:color w:val="auto"/>
                <w:sz w:val="24"/>
                <w:szCs w:val="24"/>
              </w:rPr>
              <w:t>%。环保投资情况见表</w:t>
            </w:r>
            <w:r>
              <w:rPr>
                <w:rFonts w:hint="default" w:ascii="Times New Roman" w:hAnsi="Times New Roman" w:eastAsia="宋体" w:cs="Times New Roman"/>
                <w:color w:val="auto"/>
                <w:sz w:val="24"/>
                <w:szCs w:val="24"/>
                <w:lang w:val="en-US" w:eastAsia="zh-CN"/>
              </w:rPr>
              <w:t>4-</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val="0"/>
              <w:spacing w:before="0" w:after="0" w:afterLines="0" w:line="360" w:lineRule="auto"/>
              <w:ind w:left="0" w:leftChars="0" w:right="0" w:firstLine="0" w:firstLineChars="0"/>
              <w:jc w:val="center"/>
              <w:textAlignment w:val="baseline"/>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b/>
                <w:bCs/>
                <w:color w:val="auto"/>
                <w:kern w:val="0"/>
                <w:sz w:val="24"/>
                <w:szCs w:val="20"/>
                <w:lang w:val="en-US" w:eastAsia="zh-CN" w:bidi="ar-SA"/>
              </w:rPr>
              <w:t>表4-</w:t>
            </w:r>
            <w:r>
              <w:rPr>
                <w:rFonts w:hint="eastAsia" w:cs="Times New Roman"/>
                <w:b/>
                <w:bCs/>
                <w:color w:val="auto"/>
                <w:kern w:val="0"/>
                <w:sz w:val="24"/>
                <w:szCs w:val="20"/>
                <w:lang w:val="en-US" w:eastAsia="zh-CN" w:bidi="ar-SA"/>
              </w:rPr>
              <w:t>23</w:t>
            </w:r>
            <w:r>
              <w:rPr>
                <w:rFonts w:hint="default" w:ascii="Times New Roman" w:hAnsi="Times New Roman" w:eastAsia="宋体" w:cs="Times New Roman"/>
                <w:b/>
                <w:bCs/>
                <w:color w:val="auto"/>
                <w:kern w:val="0"/>
                <w:sz w:val="24"/>
                <w:szCs w:val="20"/>
                <w:lang w:val="en-US" w:eastAsia="zh-CN" w:bidi="ar-SA"/>
              </w:rPr>
              <w:t xml:space="preserve">  环保投资一览表</w:t>
            </w:r>
          </w:p>
          <w:tbl>
            <w:tblPr>
              <w:tblStyle w:val="24"/>
              <w:tblW w:w="7670" w:type="dxa"/>
              <w:jc w:val="center"/>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4"/>
              <w:gridCol w:w="627"/>
              <w:gridCol w:w="1806"/>
              <w:gridCol w:w="3498"/>
              <w:gridCol w:w="1165"/>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阶段</w:t>
                  </w:r>
                </w:p>
              </w:tc>
              <w:tc>
                <w:tcPr>
                  <w:tcW w:w="2433" w:type="dxa"/>
                  <w:gridSpan w:val="2"/>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目</w:t>
                  </w:r>
                </w:p>
              </w:tc>
              <w:tc>
                <w:tcPr>
                  <w:tcW w:w="3498"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治理措施</w:t>
                  </w:r>
                </w:p>
              </w:tc>
              <w:tc>
                <w:tcPr>
                  <w:tcW w:w="1165"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投资估算</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（万元）</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restar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施工期</w:t>
                  </w:r>
                </w:p>
              </w:tc>
              <w:tc>
                <w:tcPr>
                  <w:tcW w:w="2433" w:type="dxa"/>
                  <w:gridSpan w:val="2"/>
                  <w:tcBorders>
                    <w:top w:val="single" w:color="auto" w:sz="4" w:space="0"/>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pacing w:line="240" w:lineRule="auto"/>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3498"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施工场地洒水、遮盖防尘等措施，车辆限速行驶</w:t>
                  </w:r>
                </w:p>
              </w:tc>
              <w:tc>
                <w:tcPr>
                  <w:tcW w:w="1165"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color w:val="auto"/>
                      <w:sz w:val="21"/>
                      <w:szCs w:val="21"/>
                    </w:rPr>
                  </w:pPr>
                </w:p>
              </w:tc>
              <w:tc>
                <w:tcPr>
                  <w:tcW w:w="2433" w:type="dxa"/>
                  <w:gridSpan w:val="2"/>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3498"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施工废水经隔油沉淀处理后循环使用不外排</w:t>
                  </w:r>
                </w:p>
              </w:tc>
              <w:tc>
                <w:tcPr>
                  <w:tcW w:w="1165"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color w:val="auto"/>
                      <w:sz w:val="21"/>
                      <w:szCs w:val="21"/>
                    </w:rPr>
                  </w:pPr>
                </w:p>
              </w:tc>
              <w:tc>
                <w:tcPr>
                  <w:tcW w:w="2433" w:type="dxa"/>
                  <w:gridSpan w:val="2"/>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3498"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加强设备维护、选用低噪音设备</w:t>
                  </w:r>
                </w:p>
              </w:tc>
              <w:tc>
                <w:tcPr>
                  <w:tcW w:w="1165"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color w:val="auto"/>
                      <w:sz w:val="21"/>
                      <w:szCs w:val="21"/>
                    </w:rPr>
                  </w:pPr>
                </w:p>
              </w:tc>
              <w:tc>
                <w:tcPr>
                  <w:tcW w:w="2433" w:type="dxa"/>
                  <w:gridSpan w:val="2"/>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3498"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生活垃圾经垃圾桶收集后，拉运至环卫部门指定地点处置</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建筑垃圾尽量进行综合利用，不能利用部分清运至附近建筑垃圾处置点。</w:t>
                  </w:r>
                </w:p>
              </w:tc>
              <w:tc>
                <w:tcPr>
                  <w:tcW w:w="1165"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1.5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4" w:hRule="atLeast"/>
                <w:jc w:val="center"/>
              </w:trPr>
              <w:tc>
                <w:tcPr>
                  <w:tcW w:w="574" w:type="dxa"/>
                  <w:vMerge w:val="restart"/>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运营期</w:t>
                  </w:r>
                </w:p>
              </w:tc>
              <w:tc>
                <w:tcPr>
                  <w:tcW w:w="627"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废气治理</w:t>
                  </w: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发酵废气</w:t>
                  </w:r>
                </w:p>
              </w:tc>
              <w:tc>
                <w:tcPr>
                  <w:tcW w:w="3498"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全封闭生产车间及车间空气净化系统</w:t>
                  </w:r>
                </w:p>
              </w:tc>
              <w:tc>
                <w:tcPr>
                  <w:tcW w:w="1165" w:type="dxa"/>
                  <w:vMerge w:val="restart"/>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计入工程投资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right="0" w:rightChars="0"/>
                    <w:jc w:val="left"/>
                    <w:textAlignment w:val="auto"/>
                    <w:rPr>
                      <w:rFonts w:hint="default" w:ascii="Times New Roman" w:hAnsi="Times New Roman" w:eastAsia="宋体" w:cs="Times New Roman"/>
                      <w:color w:val="auto"/>
                      <w:kern w:val="0"/>
                      <w:sz w:val="21"/>
                      <w:szCs w:val="21"/>
                      <w:lang w:val="en-US" w:eastAsia="zh-CN"/>
                    </w:rPr>
                  </w:pP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面粉投加粉尘</w:t>
                  </w:r>
                </w:p>
              </w:tc>
              <w:tc>
                <w:tcPr>
                  <w:tcW w:w="349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p>
              </w:tc>
              <w:tc>
                <w:tcPr>
                  <w:tcW w:w="1165"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right="0" w:rightChars="0"/>
                    <w:jc w:val="left"/>
                    <w:textAlignment w:val="auto"/>
                    <w:rPr>
                      <w:rFonts w:hint="default" w:ascii="Times New Roman" w:hAnsi="Times New Roman" w:eastAsia="宋体" w:cs="Times New Roman"/>
                      <w:color w:val="auto"/>
                      <w:kern w:val="0"/>
                      <w:sz w:val="21"/>
                      <w:szCs w:val="21"/>
                      <w:lang w:val="en-US" w:eastAsia="zh-CN"/>
                    </w:rPr>
                  </w:pP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锅炉废气</w:t>
                  </w:r>
                </w:p>
              </w:tc>
              <w:tc>
                <w:tcPr>
                  <w:tcW w:w="349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锅炉配套低氮燃烧器+8m烟囱</w:t>
                  </w:r>
                </w:p>
              </w:tc>
              <w:tc>
                <w:tcPr>
                  <w:tcW w:w="1165"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right="0" w:rightChars="0"/>
                    <w:jc w:val="left"/>
                    <w:textAlignment w:val="auto"/>
                    <w:rPr>
                      <w:rFonts w:hint="default" w:ascii="Times New Roman" w:hAnsi="Times New Roman" w:eastAsia="宋体" w:cs="Times New Roman"/>
                      <w:color w:val="auto"/>
                      <w:kern w:val="0"/>
                      <w:sz w:val="21"/>
                      <w:szCs w:val="21"/>
                      <w:lang w:val="en-US" w:eastAsia="zh-CN"/>
                    </w:rPr>
                  </w:pP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污水处理站恶臭</w:t>
                  </w:r>
                </w:p>
              </w:tc>
              <w:tc>
                <w:tcPr>
                  <w:tcW w:w="349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地埋式一体式污水处理站+喷洒生物除臭剂</w:t>
                  </w:r>
                </w:p>
              </w:tc>
              <w:tc>
                <w:tcPr>
                  <w:tcW w:w="1165"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32"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627"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废水治理</w:t>
                  </w: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vertAlign w:val="baseline"/>
                      <w:lang w:val="en-US" w:eastAsia="zh-CN"/>
                    </w:rPr>
                    <w:t>生活废水</w:t>
                  </w:r>
                </w:p>
              </w:tc>
              <w:tc>
                <w:tcPr>
                  <w:tcW w:w="349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食堂废水经隔油池处理后同生活污水排入1座6m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的化粪池处理后排入园区污水管网</w:t>
                  </w:r>
                </w:p>
              </w:tc>
              <w:tc>
                <w:tcPr>
                  <w:tcW w:w="1165"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lang w:eastAsia="zh-CN"/>
                    </w:rPr>
                  </w:pP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生产废水（设备、原料清洗废水、地面清洗废水、漂烫废水）</w:t>
                  </w:r>
                </w:p>
              </w:tc>
              <w:tc>
                <w:tcPr>
                  <w:tcW w:w="349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1座23m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的地埋式一体式污水处理站</w:t>
                  </w:r>
                </w:p>
              </w:tc>
              <w:tc>
                <w:tcPr>
                  <w:tcW w:w="1165"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lang w:eastAsia="zh-CN"/>
                    </w:rPr>
                  </w:pP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锅炉排污水</w:t>
                  </w:r>
                </w:p>
              </w:tc>
              <w:tc>
                <w:tcPr>
                  <w:tcW w:w="3498"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1座10m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的降温沉淀池，处理后排入园区雨水管网</w:t>
                  </w:r>
                </w:p>
              </w:tc>
              <w:tc>
                <w:tcPr>
                  <w:tcW w:w="1165" w:type="dxa"/>
                  <w:vMerge w:val="restart"/>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lang w:eastAsia="zh-CN"/>
                    </w:rPr>
                  </w:pP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纯水制备浓水</w:t>
                  </w:r>
                </w:p>
              </w:tc>
              <w:tc>
                <w:tcPr>
                  <w:tcW w:w="349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165"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627" w:type="dxa"/>
                  <w:vMerge w:val="restart"/>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固废治理</w:t>
                  </w: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
                    </w:rPr>
                    <w:t>生活垃圾</w:t>
                  </w:r>
                </w:p>
              </w:tc>
              <w:tc>
                <w:tcPr>
                  <w:tcW w:w="3498"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垃圾桶收集后交园区环卫部门收集处置</w:t>
                  </w:r>
                </w:p>
              </w:tc>
              <w:tc>
                <w:tcPr>
                  <w:tcW w:w="1165"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SA"/>
                    </w:rPr>
                    <w:t>分拣杂质</w:t>
                  </w:r>
                </w:p>
              </w:tc>
              <w:tc>
                <w:tcPr>
                  <w:tcW w:w="3498" w:type="dxa"/>
                  <w:vMerge w:val="restart"/>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rPr>
                    <w:t>带盖容器收集后当日送周边村民作为牛羊饲料</w:t>
                  </w:r>
                </w:p>
              </w:tc>
              <w:tc>
                <w:tcPr>
                  <w:tcW w:w="1165" w:type="dxa"/>
                  <w:vMerge w:val="restart"/>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
                    </w:rPr>
                    <w:t>过滤杂质</w:t>
                  </w:r>
                </w:p>
              </w:tc>
              <w:tc>
                <w:tcPr>
                  <w:tcW w:w="3498"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p>
              </w:tc>
              <w:tc>
                <w:tcPr>
                  <w:tcW w:w="1165"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污泥</w:t>
                  </w:r>
                </w:p>
              </w:tc>
              <w:tc>
                <w:tcPr>
                  <w:tcW w:w="3498"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脱水后拉运至当地填埋场处置</w:t>
                  </w:r>
                </w:p>
              </w:tc>
              <w:tc>
                <w:tcPr>
                  <w:tcW w:w="1165"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废包装材料</w:t>
                  </w:r>
                </w:p>
              </w:tc>
              <w:tc>
                <w:tcPr>
                  <w:tcW w:w="3498"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收集后交由园区环卫部门处置</w:t>
                  </w:r>
                </w:p>
              </w:tc>
              <w:tc>
                <w:tcPr>
                  <w:tcW w:w="1165"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不合格产品</w:t>
                  </w:r>
                </w:p>
              </w:tc>
              <w:tc>
                <w:tcPr>
                  <w:tcW w:w="3498" w:type="dxa"/>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SA"/>
                    </w:rPr>
                    <w:t>不合格产品去处包装后，浆水排入地埋一体式污水处理设施处理，其余固体废物经带盖容器收集后作为餐厨垃圾交有资质单位处置</w:t>
                  </w:r>
                </w:p>
              </w:tc>
              <w:tc>
                <w:tcPr>
                  <w:tcW w:w="1165"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2433" w:type="dxa"/>
                  <w:gridSpan w:val="2"/>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噪声</w:t>
                  </w:r>
                </w:p>
              </w:tc>
              <w:tc>
                <w:tcPr>
                  <w:tcW w:w="3498"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设备基础减振、</w:t>
                  </w:r>
                  <w:r>
                    <w:rPr>
                      <w:rFonts w:hint="default" w:ascii="Times New Roman" w:hAnsi="Times New Roman" w:eastAsia="宋体" w:cs="Times New Roman"/>
                      <w:color w:val="auto"/>
                      <w:sz w:val="21"/>
                      <w:szCs w:val="21"/>
                      <w:lang w:val="en-US" w:eastAsia="zh-CN"/>
                    </w:rPr>
                    <w:t>厂房隔声、锅炉房使用隔声门窗等</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2433" w:type="dxa"/>
                  <w:gridSpan w:val="2"/>
                  <w:tcBorders>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环境风险</w:t>
                  </w:r>
                </w:p>
              </w:tc>
              <w:tc>
                <w:tcPr>
                  <w:tcW w:w="3498" w:type="dxa"/>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应急物资（灭火器、便携式</w:t>
                  </w:r>
                  <w:r>
                    <w:rPr>
                      <w:rFonts w:hint="default" w:ascii="Times New Roman" w:hAnsi="Times New Roman" w:eastAsia="宋体" w:cs="Times New Roman"/>
                      <w:color w:val="auto"/>
                      <w:kern w:val="2"/>
                      <w:sz w:val="21"/>
                      <w:szCs w:val="21"/>
                      <w:highlight w:val="none"/>
                      <w:lang w:val="en-US" w:eastAsia="zh-CN" w:bidi="ar-SA"/>
                    </w:rPr>
                    <w:t>天然气泄漏检测设备</w:t>
                  </w:r>
                  <w:r>
                    <w:rPr>
                      <w:rFonts w:hint="eastAsia" w:ascii="Times New Roman" w:hAnsi="Times New Roman" w:cs="Times New Roman"/>
                      <w:color w:val="auto"/>
                      <w:kern w:val="2"/>
                      <w:sz w:val="21"/>
                      <w:szCs w:val="21"/>
                      <w:highlight w:val="none"/>
                      <w:lang w:val="en-US" w:eastAsia="zh-CN" w:bidi="ar-SA"/>
                    </w:rPr>
                    <w:t>等</w:t>
                  </w:r>
                  <w:r>
                    <w:rPr>
                      <w:rFonts w:hint="eastAsia" w:ascii="Times New Roman" w:hAnsi="Times New Roman" w:eastAsia="宋体" w:cs="Times New Roman"/>
                      <w:color w:val="auto"/>
                      <w:kern w:val="2"/>
                      <w:sz w:val="21"/>
                      <w:szCs w:val="21"/>
                      <w:highlight w:val="none"/>
                      <w:lang w:val="en-US" w:eastAsia="zh-CN" w:bidi="ar-SA"/>
                    </w:rPr>
                    <w:t>）</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007" w:type="dxa"/>
                  <w:gridSpan w:val="3"/>
                  <w:tcBorders>
                    <w:bottom w:val="single" w:color="auto" w:sz="4" w:space="0"/>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总计</w:t>
                  </w:r>
                </w:p>
              </w:tc>
              <w:tc>
                <w:tcPr>
                  <w:tcW w:w="3498"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165"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bidi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42.5</w:t>
                  </w:r>
                </w:p>
              </w:tc>
            </w:tr>
          </w:tbl>
          <w:p>
            <w:pPr>
              <w:bidi w:val="0"/>
              <w:rPr>
                <w:rFonts w:hint="eastAsia" w:cs="Times New Roman"/>
                <w:color w:val="auto"/>
                <w:vertAlign w:val="baseline"/>
                <w:lang w:val="en-US" w:eastAsia="zh-CN"/>
              </w:rPr>
            </w:pPr>
          </w:p>
          <w:p>
            <w:pPr>
              <w:pStyle w:val="2"/>
              <w:rPr>
                <w:rFonts w:hint="eastAsia" w:cs="Times New Roman"/>
                <w:color w:val="auto"/>
                <w:vertAlign w:val="baseline"/>
                <w:lang w:val="en-US" w:eastAsia="zh-CN"/>
              </w:rPr>
            </w:pPr>
          </w:p>
          <w:p>
            <w:pPr>
              <w:pStyle w:val="3"/>
              <w:rPr>
                <w:rFonts w:hint="eastAsia" w:cs="Times New Roman"/>
                <w:color w:val="auto"/>
                <w:vertAlign w:val="baseline"/>
                <w:lang w:val="en-US" w:eastAsia="zh-CN"/>
              </w:rPr>
            </w:pPr>
          </w:p>
          <w:p>
            <w:pPr>
              <w:rPr>
                <w:rFonts w:hint="eastAsia" w:cs="Times New Roman"/>
                <w:color w:val="auto"/>
                <w:vertAlign w:val="baseline"/>
                <w:lang w:val="en-US" w:eastAsia="zh-CN"/>
              </w:rPr>
            </w:pPr>
          </w:p>
          <w:p>
            <w:pPr>
              <w:pStyle w:val="2"/>
              <w:rPr>
                <w:rFonts w:hint="eastAsia" w:cs="Times New Roman"/>
                <w:color w:val="auto"/>
                <w:vertAlign w:val="baseline"/>
                <w:lang w:val="en-US" w:eastAsia="zh-CN"/>
              </w:rPr>
            </w:pPr>
          </w:p>
          <w:p>
            <w:pPr>
              <w:pStyle w:val="3"/>
              <w:rPr>
                <w:rFonts w:hint="eastAsia" w:cs="Times New Roman"/>
                <w:color w:val="auto"/>
                <w:vertAlign w:val="baseline"/>
                <w:lang w:val="en-US" w:eastAsia="zh-CN"/>
              </w:rPr>
            </w:pPr>
          </w:p>
          <w:p>
            <w:pPr>
              <w:rPr>
                <w:rFonts w:hint="eastAsia" w:cs="Times New Roman"/>
                <w:color w:val="auto"/>
                <w:vertAlign w:val="baseline"/>
                <w:lang w:val="en-US" w:eastAsia="zh-CN"/>
              </w:rPr>
            </w:pPr>
          </w:p>
          <w:p>
            <w:pPr>
              <w:pStyle w:val="2"/>
              <w:rPr>
                <w:rFonts w:hint="eastAsia" w:cs="Times New Roman"/>
                <w:color w:val="auto"/>
                <w:vertAlign w:val="baseline"/>
                <w:lang w:val="en-US" w:eastAsia="zh-CN"/>
              </w:rPr>
            </w:pPr>
          </w:p>
          <w:p>
            <w:pPr>
              <w:pStyle w:val="3"/>
              <w:rPr>
                <w:rFonts w:hint="eastAsia" w:cs="Times New Roman"/>
                <w:color w:val="auto"/>
                <w:vertAlign w:val="baseline"/>
                <w:lang w:val="en-US" w:eastAsia="zh-CN"/>
              </w:rPr>
            </w:pPr>
          </w:p>
          <w:p>
            <w:pPr>
              <w:rPr>
                <w:rFonts w:hint="eastAsia" w:cs="Times New Roman"/>
                <w:color w:val="auto"/>
                <w:vertAlign w:val="baseline"/>
                <w:lang w:val="en-US" w:eastAsia="zh-CN"/>
              </w:rPr>
            </w:pPr>
          </w:p>
          <w:p>
            <w:pPr>
              <w:pStyle w:val="2"/>
              <w:rPr>
                <w:rFonts w:hint="eastAsia" w:cs="Times New Roman"/>
                <w:color w:val="auto"/>
                <w:vertAlign w:val="baseline"/>
                <w:lang w:val="en-US" w:eastAsia="zh-CN"/>
              </w:rPr>
            </w:pPr>
          </w:p>
          <w:p>
            <w:pPr>
              <w:pStyle w:val="3"/>
              <w:rPr>
                <w:rFonts w:hint="eastAsia" w:cs="Times New Roman"/>
                <w:color w:val="auto"/>
                <w:vertAlign w:val="baseline"/>
                <w:lang w:val="en-US" w:eastAsia="zh-CN"/>
              </w:rPr>
            </w:pPr>
          </w:p>
          <w:p>
            <w:pPr>
              <w:rPr>
                <w:rFonts w:hint="eastAsia" w:cs="Times New Roman"/>
                <w:color w:val="auto"/>
                <w:vertAlign w:val="baseline"/>
                <w:lang w:val="en-US" w:eastAsia="zh-CN"/>
              </w:rPr>
            </w:pPr>
          </w:p>
          <w:p>
            <w:pPr>
              <w:pStyle w:val="2"/>
              <w:rPr>
                <w:rFonts w:hint="eastAsia" w:cs="Times New Roman"/>
                <w:color w:val="auto"/>
                <w:vertAlign w:val="baseline"/>
                <w:lang w:val="en-US" w:eastAsia="zh-CN"/>
              </w:rPr>
            </w:pPr>
          </w:p>
          <w:p>
            <w:pPr>
              <w:pStyle w:val="3"/>
              <w:rPr>
                <w:rFonts w:hint="eastAsia" w:cs="Times New Roman"/>
                <w:color w:val="auto"/>
                <w:vertAlign w:val="baseline"/>
                <w:lang w:val="en-US" w:eastAsia="zh-CN"/>
              </w:rPr>
            </w:pPr>
          </w:p>
          <w:p>
            <w:pPr>
              <w:rPr>
                <w:rFonts w:hint="eastAsia" w:cs="Times New Roman"/>
                <w:color w:val="auto"/>
                <w:vertAlign w:val="baseline"/>
                <w:lang w:val="en-US" w:eastAsia="zh-CN"/>
              </w:rPr>
            </w:pPr>
          </w:p>
          <w:p>
            <w:pPr>
              <w:pStyle w:val="2"/>
              <w:rPr>
                <w:rFonts w:hint="eastAsia" w:cs="Times New Roman"/>
                <w:color w:val="auto"/>
                <w:vertAlign w:val="baseline"/>
                <w:lang w:val="en-US" w:eastAsia="zh-CN"/>
              </w:rPr>
            </w:pPr>
          </w:p>
          <w:p>
            <w:pPr>
              <w:pStyle w:val="3"/>
              <w:rPr>
                <w:rFonts w:hint="eastAsia" w:cs="Times New Roman"/>
                <w:color w:val="auto"/>
                <w:vertAlign w:val="baseline"/>
                <w:lang w:val="en-US" w:eastAsia="zh-CN"/>
              </w:rPr>
            </w:pPr>
          </w:p>
          <w:p>
            <w:pPr>
              <w:rPr>
                <w:rFonts w:hint="eastAsia" w:cs="Times New Roman"/>
                <w:color w:val="auto"/>
                <w:vertAlign w:val="baseline"/>
                <w:lang w:val="en-US" w:eastAsia="zh-CN"/>
              </w:rPr>
            </w:pPr>
          </w:p>
          <w:p>
            <w:pPr>
              <w:pStyle w:val="2"/>
              <w:rPr>
                <w:rFonts w:hint="eastAsia" w:cs="Times New Roman"/>
                <w:color w:val="auto"/>
                <w:vertAlign w:val="baseline"/>
                <w:lang w:val="en-US" w:eastAsia="zh-CN"/>
              </w:rPr>
            </w:pPr>
          </w:p>
          <w:p>
            <w:pPr>
              <w:pStyle w:val="3"/>
              <w:rPr>
                <w:rFonts w:hint="eastAsia" w:cs="Times New Roman"/>
                <w:color w:val="auto"/>
                <w:vertAlign w:val="baseline"/>
                <w:lang w:val="en-US" w:eastAsia="zh-CN"/>
              </w:rPr>
            </w:pPr>
          </w:p>
          <w:p>
            <w:pPr>
              <w:bidi w:val="0"/>
              <w:rPr>
                <w:rFonts w:hint="default" w:ascii="Times New Roman" w:hAnsi="Times New Roman" w:eastAsia="宋体" w:cs="Times New Roman"/>
                <w:color w:val="auto"/>
                <w:vertAlign w:val="baseline"/>
                <w:lang w:val="en-US" w:eastAsia="zh-CN"/>
              </w:rPr>
            </w:pPr>
          </w:p>
        </w:tc>
      </w:tr>
    </w:tbl>
    <w:p>
      <w:pPr>
        <w:bidi w:val="0"/>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adjustRightInd w:val="0"/>
        <w:snapToGrid w:val="0"/>
        <w:spacing w:before="0" w:beforeAutospacing="0" w:after="0" w:afterAutospacing="0" w:line="360" w:lineRule="auto"/>
        <w:jc w:val="center"/>
        <w:outlineLvl w:val="0"/>
        <w:rPr>
          <w:rFonts w:ascii="Times New Roman" w:hAnsi="Times New Roman" w:eastAsia="黑体" w:cs="宋体"/>
          <w:snapToGrid w:val="0"/>
          <w:color w:val="auto"/>
          <w:kern w:val="0"/>
          <w:sz w:val="36"/>
          <w:szCs w:val="36"/>
          <w:lang w:val="en-US" w:eastAsia="zh-CN" w:bidi="ar-SA"/>
        </w:rPr>
      </w:pPr>
      <w:r>
        <w:rPr>
          <w:rFonts w:ascii="Times New Roman" w:hAnsi="Times New Roman" w:eastAsia="黑体" w:cs="宋体"/>
          <w:snapToGrid w:val="0"/>
          <w:color w:val="auto"/>
          <w:kern w:val="0"/>
          <w:sz w:val="36"/>
          <w:szCs w:val="36"/>
          <w:lang w:val="en-US" w:eastAsia="zh-CN" w:bidi="ar-SA"/>
        </w:rPr>
        <w:t>五、</w:t>
      </w:r>
      <w:bookmarkStart w:id="4" w:name="_Hlk54167917"/>
      <w:r>
        <w:rPr>
          <w:rFonts w:ascii="Times New Roman" w:hAnsi="Times New Roman" w:eastAsia="黑体" w:cs="宋体"/>
          <w:snapToGrid w:val="0"/>
          <w:color w:val="auto"/>
          <w:kern w:val="0"/>
          <w:sz w:val="36"/>
          <w:szCs w:val="36"/>
          <w:lang w:val="en-US" w:eastAsia="zh-CN" w:bidi="ar-SA"/>
        </w:rPr>
        <w:t>环境保护措施监督检查清单</w:t>
      </w:r>
      <w:bookmarkEnd w:id="4"/>
    </w:p>
    <w:tbl>
      <w:tblPr>
        <w:tblStyle w:val="24"/>
        <w:tblW w:w="872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765"/>
        <w:gridCol w:w="1207"/>
        <w:gridCol w:w="1705"/>
        <w:gridCol w:w="2100"/>
        <w:gridCol w:w="21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tcBorders>
              <w:tl2br w:val="single" w:color="auto" w:sz="4" w:space="0"/>
            </w:tcBorders>
            <w:noWrap w:val="0"/>
            <w:vAlign w:val="top"/>
          </w:tcPr>
          <w:p>
            <w:pPr>
              <w:adjustRightInd w:val="0"/>
              <w:snapToGrid w:val="0"/>
              <w:spacing w:line="240" w:lineRule="auto"/>
              <w:jc w:val="righ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adjustRightInd w:val="0"/>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972"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排放口（编号、名称）/污染源</w:t>
            </w:r>
          </w:p>
        </w:tc>
        <w:tc>
          <w:tcPr>
            <w:tcW w:w="17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210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210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972"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w:t>
            </w:r>
            <w:r>
              <w:rPr>
                <w:rFonts w:hint="eastAsia" w:ascii="Times New Roman" w:hAnsi="Times New Roman" w:eastAsia="宋体" w:cs="Times New Roman"/>
                <w:color w:val="auto"/>
                <w:sz w:val="21"/>
                <w:szCs w:val="21"/>
                <w:lang w:val="en-US" w:eastAsia="zh-CN"/>
              </w:rPr>
              <w:t>锅炉烟气排放口</w:t>
            </w:r>
            <w:r>
              <w:rPr>
                <w:rFonts w:hint="default" w:ascii="Times New Roman" w:hAnsi="Times New Roman" w:eastAsia="宋体" w:cs="Times New Roman"/>
                <w:color w:val="auto"/>
                <w:sz w:val="21"/>
                <w:szCs w:val="21"/>
              </w:rPr>
              <w:t>）</w:t>
            </w:r>
          </w:p>
        </w:tc>
        <w:tc>
          <w:tcPr>
            <w:tcW w:w="17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颗粒物</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二氧化硫、氮氧化硫</w:t>
            </w:r>
            <w:r>
              <w:rPr>
                <w:rFonts w:hint="eastAsia" w:cs="Times New Roman"/>
                <w:color w:val="auto"/>
                <w:sz w:val="21"/>
                <w:szCs w:val="21"/>
                <w:lang w:val="en-US" w:eastAsia="zh-CN"/>
              </w:rPr>
              <w:t>、林格曼黑度</w:t>
            </w:r>
          </w:p>
        </w:tc>
        <w:tc>
          <w:tcPr>
            <w:tcW w:w="2100" w:type="dxa"/>
            <w:noWrap w:val="0"/>
            <w:vAlign w:val="center"/>
          </w:tcPr>
          <w:p>
            <w:pPr>
              <w:pStyle w:val="48"/>
              <w:tabs>
                <w:tab w:val="left" w:pos="-2848"/>
              </w:tabs>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低氮燃烧器+1</w:t>
            </w:r>
            <w:r>
              <w:rPr>
                <w:rFonts w:hint="eastAsia" w:ascii="Times New Roman" w:hAnsi="Times New Roman" w:eastAsia="宋体" w:cs="Times New Roman"/>
                <w:color w:val="auto"/>
                <w:kern w:val="0"/>
                <w:sz w:val="21"/>
                <w:szCs w:val="21"/>
                <w:lang w:val="en-US" w:eastAsia="zh-CN" w:bidi="ar-SA"/>
              </w:rPr>
              <w:t>根</w:t>
            </w:r>
            <w:r>
              <w:rPr>
                <w:rFonts w:hint="eastAsia" w:cs="Times New Roman"/>
                <w:color w:val="auto"/>
                <w:kern w:val="0"/>
                <w:sz w:val="21"/>
                <w:szCs w:val="21"/>
                <w:lang w:val="en-US" w:eastAsia="zh-CN" w:bidi="ar-SA"/>
              </w:rPr>
              <w:t>8</w:t>
            </w:r>
            <w:r>
              <w:rPr>
                <w:rFonts w:hint="eastAsia" w:ascii="Times New Roman" w:hAnsi="Times New Roman" w:eastAsia="宋体" w:cs="Times New Roman"/>
                <w:color w:val="auto"/>
                <w:kern w:val="0"/>
                <w:sz w:val="21"/>
                <w:szCs w:val="21"/>
                <w:lang w:val="en-US" w:eastAsia="zh-CN" w:bidi="ar-SA"/>
              </w:rPr>
              <w:t>m</w:t>
            </w:r>
            <w:r>
              <w:rPr>
                <w:rFonts w:hint="eastAsia" w:cs="Times New Roman"/>
                <w:color w:val="auto"/>
                <w:kern w:val="0"/>
                <w:sz w:val="21"/>
                <w:szCs w:val="21"/>
                <w:lang w:val="en-US" w:eastAsia="zh-CN" w:bidi="ar-SA"/>
              </w:rPr>
              <w:t>烟囱</w:t>
            </w:r>
          </w:p>
        </w:tc>
        <w:tc>
          <w:tcPr>
            <w:tcW w:w="2106"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《锅炉大气污染物</w:t>
            </w:r>
          </w:p>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排放标准》（</w:t>
            </w:r>
            <w:r>
              <w:rPr>
                <w:rFonts w:hint="eastAsia" w:ascii="Times New Roman" w:hAnsi="Times New Roman" w:eastAsia="宋体" w:cs="Times New Roman"/>
                <w:color w:val="auto"/>
                <w:sz w:val="21"/>
                <w:szCs w:val="21"/>
              </w:rPr>
              <w:t>GB13271-2014）表2中燃气标准要</w:t>
            </w:r>
          </w:p>
          <w:p>
            <w:pPr>
              <w:widowControl/>
              <w:autoSpaceDE w:val="0"/>
              <w:autoSpaceDN w:val="0"/>
              <w:adjustRightInd w:val="0"/>
              <w:snapToGrid w:val="0"/>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rPr>
              <w:t>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765"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无组织排放废气</w:t>
            </w:r>
          </w:p>
        </w:tc>
        <w:tc>
          <w:tcPr>
            <w:tcW w:w="1207"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发酵废气</w:t>
            </w:r>
          </w:p>
        </w:tc>
        <w:tc>
          <w:tcPr>
            <w:tcW w:w="17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恶臭浓度</w:t>
            </w:r>
          </w:p>
        </w:tc>
        <w:tc>
          <w:tcPr>
            <w:tcW w:w="2100" w:type="dxa"/>
            <w:noWrap w:val="0"/>
            <w:vAlign w:val="center"/>
          </w:tcPr>
          <w:p>
            <w:pPr>
              <w:pStyle w:val="48"/>
              <w:tabs>
                <w:tab w:val="left" w:pos="-2848"/>
              </w:tabs>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kern w:val="0"/>
                <w:sz w:val="21"/>
                <w:szCs w:val="21"/>
                <w:lang w:val="en-US" w:eastAsia="zh-CN" w:bidi="ar-SA"/>
              </w:rPr>
              <w:t>全封闭车间+车间空气净化系统</w:t>
            </w:r>
          </w:p>
        </w:tc>
        <w:tc>
          <w:tcPr>
            <w:tcW w:w="2106"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color w:val="auto"/>
                <w:sz w:val="21"/>
                <w:szCs w:val="21"/>
              </w:rPr>
              <w:t>《恶臭污染物排放标准》（GB14554-93）表2相关限值</w:t>
            </w:r>
            <w:r>
              <w:rPr>
                <w:rFonts w:hint="eastAsia" w:eastAsia="宋体"/>
                <w:color w:val="auto"/>
                <w:sz w:val="21"/>
                <w:szCs w:val="21"/>
                <w:lang w:eastAsia="zh-CN"/>
              </w:rPr>
              <w:t>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765"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207"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污水处理设备恶臭</w:t>
            </w:r>
          </w:p>
        </w:tc>
        <w:tc>
          <w:tcPr>
            <w:tcW w:w="1705"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NH</w:t>
            </w:r>
            <w:r>
              <w:rPr>
                <w:rFonts w:hint="eastAsia" w:ascii="Times New Roman" w:hAnsi="Times New Roman" w:eastAsia="宋体" w:cs="Times New Roman"/>
                <w:color w:val="auto"/>
                <w:sz w:val="21"/>
                <w:szCs w:val="21"/>
                <w:vertAlign w:val="subscript"/>
              </w:rPr>
              <w:t>3</w:t>
            </w:r>
          </w:p>
        </w:tc>
        <w:tc>
          <w:tcPr>
            <w:tcW w:w="2100" w:type="dxa"/>
            <w:vMerge w:val="restart"/>
            <w:noWrap w:val="0"/>
            <w:vAlign w:val="center"/>
          </w:tcPr>
          <w:p>
            <w:pPr>
              <w:pStyle w:val="48"/>
              <w:tabs>
                <w:tab w:val="left" w:pos="-2848"/>
              </w:tabs>
              <w:adjustRightInd w:val="0"/>
              <w:snapToGri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地埋式一体式污水处理设备+喷洒生物除臭剂</w:t>
            </w:r>
          </w:p>
        </w:tc>
        <w:tc>
          <w:tcPr>
            <w:tcW w:w="2106" w:type="dxa"/>
            <w:vMerge w:val="continue"/>
            <w:noWrap w:val="0"/>
            <w:vAlign w:val="center"/>
          </w:tcPr>
          <w:p>
            <w:pPr>
              <w:adjustRightInd w:val="0"/>
              <w:snapToGrid w:val="0"/>
              <w:spacing w:line="240" w:lineRule="auto"/>
              <w:jc w:val="center"/>
              <w:rPr>
                <w:rFonts w:hint="default"/>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765"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20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705"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S</w:t>
            </w:r>
          </w:p>
        </w:tc>
        <w:tc>
          <w:tcPr>
            <w:tcW w:w="2100" w:type="dxa"/>
            <w:vMerge w:val="continue"/>
            <w:noWrap w:val="0"/>
            <w:vAlign w:val="center"/>
          </w:tcPr>
          <w:p>
            <w:pPr>
              <w:pStyle w:val="48"/>
              <w:tabs>
                <w:tab w:val="left" w:pos="-2848"/>
              </w:tabs>
              <w:adjustRightInd w:val="0"/>
              <w:snapToGrid w:val="0"/>
              <w:spacing w:line="240" w:lineRule="auto"/>
              <w:jc w:val="center"/>
              <w:rPr>
                <w:rFonts w:hint="eastAsia" w:cs="Times New Roman"/>
                <w:color w:val="auto"/>
                <w:kern w:val="0"/>
                <w:sz w:val="21"/>
                <w:szCs w:val="21"/>
                <w:lang w:val="en-US" w:eastAsia="zh-CN" w:bidi="ar-SA"/>
              </w:rPr>
            </w:pPr>
          </w:p>
        </w:tc>
        <w:tc>
          <w:tcPr>
            <w:tcW w:w="2106" w:type="dxa"/>
            <w:vMerge w:val="continue"/>
            <w:noWrap w:val="0"/>
            <w:vAlign w:val="center"/>
          </w:tcPr>
          <w:p>
            <w:pPr>
              <w:adjustRightInd w:val="0"/>
              <w:snapToGrid w:val="0"/>
              <w:spacing w:line="240" w:lineRule="auto"/>
              <w:jc w:val="center"/>
              <w:rPr>
                <w:rFonts w:hint="default"/>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765"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20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705" w:type="dxa"/>
            <w:noWrap w:val="0"/>
            <w:vAlign w:val="center"/>
          </w:tcPr>
          <w:p>
            <w:pPr>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臭气浓度</w:t>
            </w:r>
          </w:p>
        </w:tc>
        <w:tc>
          <w:tcPr>
            <w:tcW w:w="2100" w:type="dxa"/>
            <w:vMerge w:val="continue"/>
            <w:noWrap w:val="0"/>
            <w:vAlign w:val="center"/>
          </w:tcPr>
          <w:p>
            <w:pPr>
              <w:pStyle w:val="48"/>
              <w:tabs>
                <w:tab w:val="left" w:pos="-2848"/>
              </w:tabs>
              <w:adjustRightInd w:val="0"/>
              <w:snapToGrid w:val="0"/>
              <w:spacing w:line="240" w:lineRule="auto"/>
              <w:jc w:val="center"/>
              <w:rPr>
                <w:rFonts w:hint="eastAsia" w:cs="Times New Roman"/>
                <w:color w:val="auto"/>
                <w:kern w:val="0"/>
                <w:sz w:val="21"/>
                <w:szCs w:val="21"/>
                <w:lang w:val="en-US" w:eastAsia="zh-CN" w:bidi="ar-SA"/>
              </w:rPr>
            </w:pPr>
          </w:p>
        </w:tc>
        <w:tc>
          <w:tcPr>
            <w:tcW w:w="2106" w:type="dxa"/>
            <w:vMerge w:val="continue"/>
            <w:noWrap w:val="0"/>
            <w:vAlign w:val="center"/>
          </w:tcPr>
          <w:p>
            <w:pPr>
              <w:adjustRightInd w:val="0"/>
              <w:snapToGrid w:val="0"/>
              <w:spacing w:line="240" w:lineRule="auto"/>
              <w:jc w:val="center"/>
              <w:rPr>
                <w:rFonts w:hint="default"/>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765"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20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面粉投加</w:t>
            </w:r>
          </w:p>
        </w:tc>
        <w:tc>
          <w:tcPr>
            <w:tcW w:w="1705" w:type="dxa"/>
            <w:noWrap w:val="0"/>
            <w:vAlign w:val="center"/>
          </w:tcPr>
          <w:p>
            <w:pPr>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颗粒物</w:t>
            </w:r>
          </w:p>
        </w:tc>
        <w:tc>
          <w:tcPr>
            <w:tcW w:w="2100" w:type="dxa"/>
            <w:noWrap w:val="0"/>
            <w:vAlign w:val="center"/>
          </w:tcPr>
          <w:p>
            <w:pPr>
              <w:pStyle w:val="48"/>
              <w:tabs>
                <w:tab w:val="left" w:pos="-2848"/>
              </w:tabs>
              <w:adjustRightInd w:val="0"/>
              <w:snapToGrid w:val="0"/>
              <w:spacing w:line="240" w:lineRule="auto"/>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全封闭车间+车间空气净化系统</w:t>
            </w:r>
          </w:p>
        </w:tc>
        <w:tc>
          <w:tcPr>
            <w:tcW w:w="2106" w:type="dxa"/>
            <w:noWrap w:val="0"/>
            <w:vAlign w:val="center"/>
          </w:tcPr>
          <w:p>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《大气污染物综合排放标准》（GB16297-1996）表2中标准限值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972" w:type="dxa"/>
            <w:gridSpan w:val="2"/>
            <w:noWrap w:val="0"/>
            <w:vAlign w:val="center"/>
          </w:tcPr>
          <w:p>
            <w:pPr>
              <w:widowControl/>
              <w:adjustRightInd w:val="0"/>
              <w:snapToGrid w:val="0"/>
              <w:spacing w:before="60" w:after="0" w:afterLines="0" w:line="240" w:lineRule="auto"/>
              <w:ind w:right="113"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生活污水（含食堂污水）</w:t>
            </w:r>
          </w:p>
        </w:tc>
        <w:tc>
          <w:tcPr>
            <w:tcW w:w="1705"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NH</w:t>
            </w:r>
            <w:r>
              <w:rPr>
                <w:rFonts w:hint="eastAsia" w:ascii="Times New Roman" w:hAnsi="Times New Roman" w:eastAsia="宋体" w:cs="Times New Roman"/>
                <w:color w:val="auto"/>
                <w:sz w:val="21"/>
                <w:szCs w:val="21"/>
                <w:highlight w:val="none"/>
                <w:vertAlign w:val="subscript"/>
              </w:rPr>
              <w:t>3</w:t>
            </w:r>
            <w:r>
              <w:rPr>
                <w:rFonts w:hint="eastAsia" w:ascii="Times New Roman" w:hAnsi="Times New Roman" w:eastAsia="宋体" w:cs="Times New Roman"/>
                <w:color w:val="auto"/>
                <w:sz w:val="21"/>
                <w:szCs w:val="21"/>
                <w:highlight w:val="none"/>
              </w:rPr>
              <w:t>-N、</w:t>
            </w:r>
          </w:p>
          <w:p>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rPr>
              <w:t>COD、BOD</w:t>
            </w:r>
            <w:r>
              <w:rPr>
                <w:rFonts w:hint="eastAsia" w:ascii="Times New Roman" w:hAnsi="Times New Roman" w:eastAsia="宋体" w:cs="Times New Roman"/>
                <w:color w:val="auto"/>
                <w:sz w:val="21"/>
                <w:szCs w:val="21"/>
                <w:highlight w:val="none"/>
                <w:vertAlign w:val="subscript"/>
              </w:rPr>
              <w:t>5</w:t>
            </w:r>
            <w:r>
              <w:rPr>
                <w:rFonts w:hint="eastAsia" w:ascii="Times New Roman" w:hAnsi="Times New Roman" w:eastAsia="宋体" w:cs="Times New Roman"/>
                <w:color w:val="auto"/>
                <w:sz w:val="21"/>
                <w:szCs w:val="21"/>
                <w:highlight w:val="none"/>
              </w:rPr>
              <w:t>、SS</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动植物油</w:t>
            </w:r>
            <w:r>
              <w:rPr>
                <w:rFonts w:hint="eastAsia" w:cs="Times New Roman"/>
                <w:color w:val="auto"/>
                <w:sz w:val="21"/>
                <w:szCs w:val="21"/>
                <w:highlight w:val="none"/>
                <w:lang w:val="en-US" w:eastAsia="zh-CN"/>
              </w:rPr>
              <w:t>pH</w:t>
            </w:r>
          </w:p>
        </w:tc>
        <w:tc>
          <w:tcPr>
            <w:tcW w:w="2100"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隔油池+1座</w:t>
            </w:r>
            <w:r>
              <w:rPr>
                <w:rFonts w:hint="eastAsia"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的化粪池</w:t>
            </w:r>
          </w:p>
        </w:tc>
        <w:tc>
          <w:tcPr>
            <w:tcW w:w="2106" w:type="dxa"/>
            <w:vMerge w:val="restart"/>
            <w:noWrap w:val="0"/>
            <w:vAlign w:val="center"/>
          </w:tcPr>
          <w:p>
            <w:pPr>
              <w:wordWrap w:val="0"/>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《污水综合排放</w:t>
            </w:r>
          </w:p>
          <w:p>
            <w:pPr>
              <w:wordWrap w:val="0"/>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标准》</w:t>
            </w:r>
          </w:p>
          <w:p>
            <w:pPr>
              <w:wordWrap w:val="0"/>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（GB8978-1996）</w:t>
            </w:r>
          </w:p>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972" w:type="dxa"/>
            <w:gridSpan w:val="2"/>
            <w:noWrap w:val="0"/>
            <w:vAlign w:val="center"/>
          </w:tcPr>
          <w:p>
            <w:pPr>
              <w:widowControl/>
              <w:adjustRightInd w:val="0"/>
              <w:snapToGrid w:val="0"/>
              <w:spacing w:before="60" w:after="0" w:afterLines="0" w:line="240" w:lineRule="auto"/>
              <w:ind w:right="113"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生产废水</w:t>
            </w:r>
          </w:p>
        </w:tc>
        <w:tc>
          <w:tcPr>
            <w:tcW w:w="1705" w:type="dxa"/>
            <w:noWrap w:val="0"/>
            <w:vAlign w:val="center"/>
          </w:tcPr>
          <w:p>
            <w:pPr>
              <w:adjustRightInd w:val="0"/>
              <w:snapToGrid w:val="0"/>
              <w:spacing w:line="240" w:lineRule="auto"/>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rPr>
              <w:t>COD、BOD</w:t>
            </w:r>
            <w:r>
              <w:rPr>
                <w:rFonts w:hint="eastAsia" w:ascii="Times New Roman" w:hAnsi="Times New Roman" w:eastAsia="宋体" w:cs="Times New Roman"/>
                <w:color w:val="auto"/>
                <w:sz w:val="21"/>
                <w:szCs w:val="21"/>
                <w:highlight w:val="none"/>
                <w:vertAlign w:val="subscript"/>
              </w:rPr>
              <w:t>5</w:t>
            </w:r>
            <w:r>
              <w:rPr>
                <w:rFonts w:hint="eastAsia" w:ascii="Times New Roman" w:hAnsi="Times New Roman" w:eastAsia="宋体" w:cs="Times New Roman"/>
                <w:color w:val="auto"/>
                <w:sz w:val="21"/>
                <w:szCs w:val="21"/>
                <w:highlight w:val="none"/>
              </w:rPr>
              <w:t>、SS</w:t>
            </w:r>
            <w:r>
              <w:rPr>
                <w:rFonts w:hint="eastAsia" w:cs="Times New Roman"/>
                <w:color w:val="auto"/>
                <w:sz w:val="21"/>
                <w:szCs w:val="21"/>
                <w:highlight w:val="none"/>
                <w:lang w:val="en-US" w:eastAsia="zh-CN"/>
              </w:rPr>
              <w:t>、pH、</w:t>
            </w:r>
            <w:r>
              <w:rPr>
                <w:rFonts w:hint="eastAsia" w:ascii="Times New Roman" w:hAnsi="Times New Roman" w:eastAsia="宋体" w:cs="Times New Roman"/>
                <w:color w:val="auto"/>
                <w:sz w:val="21"/>
                <w:szCs w:val="21"/>
                <w:highlight w:val="none"/>
              </w:rPr>
              <w:t>NH</w:t>
            </w:r>
            <w:r>
              <w:rPr>
                <w:rFonts w:hint="eastAsia" w:ascii="Times New Roman" w:hAnsi="Times New Roman" w:eastAsia="宋体" w:cs="Times New Roman"/>
                <w:color w:val="auto"/>
                <w:sz w:val="21"/>
                <w:szCs w:val="21"/>
                <w:highlight w:val="none"/>
                <w:vertAlign w:val="subscript"/>
              </w:rPr>
              <w:t>3</w:t>
            </w:r>
            <w:r>
              <w:rPr>
                <w:rFonts w:hint="eastAsia" w:ascii="Times New Roman" w:hAnsi="Times New Roman" w:eastAsia="宋体" w:cs="Times New Roman"/>
                <w:color w:val="auto"/>
                <w:sz w:val="21"/>
                <w:szCs w:val="21"/>
                <w:highlight w:val="none"/>
              </w:rPr>
              <w:t>-N、</w:t>
            </w:r>
          </w:p>
        </w:tc>
        <w:tc>
          <w:tcPr>
            <w:tcW w:w="2100"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1座</w:t>
            </w:r>
            <w:r>
              <w:rPr>
                <w:rFonts w:hint="eastAsia" w:cs="Times New Roman"/>
                <w:color w:val="auto"/>
                <w:sz w:val="21"/>
                <w:szCs w:val="21"/>
                <w:highlight w:val="none"/>
                <w:lang w:val="en-US" w:eastAsia="zh-CN"/>
              </w:rPr>
              <w:t>23</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地埋一体式污水处理设备</w:t>
            </w:r>
          </w:p>
        </w:tc>
        <w:tc>
          <w:tcPr>
            <w:tcW w:w="2106"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972" w:type="dxa"/>
            <w:gridSpan w:val="2"/>
            <w:noWrap w:val="0"/>
            <w:vAlign w:val="center"/>
          </w:tcPr>
          <w:p>
            <w:pPr>
              <w:widowControl/>
              <w:adjustRightInd w:val="0"/>
              <w:snapToGrid w:val="0"/>
              <w:spacing w:before="60" w:after="0" w:afterLines="0" w:line="240" w:lineRule="auto"/>
              <w:ind w:right="113"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锅炉定期排污水</w:t>
            </w:r>
          </w:p>
        </w:tc>
        <w:tc>
          <w:tcPr>
            <w:tcW w:w="1705" w:type="dxa"/>
            <w:vMerge w:val="restart"/>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Ca</w:t>
            </w:r>
            <w:r>
              <w:rPr>
                <w:rFonts w:hint="eastAsia" w:cs="Times New Roman"/>
                <w:bCs/>
                <w:color w:val="auto"/>
                <w:sz w:val="21"/>
                <w:szCs w:val="21"/>
                <w:highlight w:val="none"/>
                <w:vertAlign w:val="superscript"/>
                <w:lang w:val="en-US" w:eastAsia="zh-CN"/>
              </w:rPr>
              <w:t>2+</w:t>
            </w:r>
            <w:r>
              <w:rPr>
                <w:rFonts w:hint="eastAsia" w:cs="Times New Roman"/>
                <w:bCs/>
                <w:color w:val="auto"/>
                <w:sz w:val="21"/>
                <w:szCs w:val="21"/>
                <w:highlight w:val="none"/>
                <w:lang w:val="en-US" w:eastAsia="zh-CN"/>
              </w:rPr>
              <w:t>、Mg</w:t>
            </w:r>
            <w:r>
              <w:rPr>
                <w:rFonts w:hint="eastAsia" w:cs="Times New Roman"/>
                <w:bCs/>
                <w:color w:val="auto"/>
                <w:sz w:val="21"/>
                <w:szCs w:val="21"/>
                <w:highlight w:val="none"/>
                <w:vertAlign w:val="superscript"/>
                <w:lang w:val="en-US" w:eastAsia="zh-CN"/>
              </w:rPr>
              <w:t>2+</w:t>
            </w:r>
            <w:r>
              <w:rPr>
                <w:rFonts w:hint="eastAsia" w:cs="Times New Roman"/>
                <w:bCs/>
                <w:color w:val="auto"/>
                <w:sz w:val="21"/>
                <w:szCs w:val="21"/>
                <w:highlight w:val="none"/>
                <w:vertAlign w:val="baseline"/>
                <w:lang w:val="en-US" w:eastAsia="zh-CN"/>
              </w:rPr>
              <w:t>、</w:t>
            </w:r>
            <w:r>
              <w:rPr>
                <w:rFonts w:hint="eastAsia" w:ascii="Times New Roman" w:hAnsi="Times New Roman" w:eastAsia="宋体" w:cs="Times New Roman"/>
                <w:bCs/>
                <w:color w:val="auto"/>
                <w:sz w:val="21"/>
                <w:szCs w:val="21"/>
                <w:highlight w:val="none"/>
                <w:lang w:val="en-US" w:eastAsia="zh-CN"/>
              </w:rPr>
              <w:t>SS</w:t>
            </w:r>
          </w:p>
        </w:tc>
        <w:tc>
          <w:tcPr>
            <w:tcW w:w="2100" w:type="dxa"/>
            <w:vMerge w:val="restart"/>
            <w:noWrap w:val="0"/>
            <w:vAlign w:val="center"/>
          </w:tcPr>
          <w:p>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1座10m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降温</w:t>
            </w:r>
            <w:r>
              <w:rPr>
                <w:rFonts w:hint="eastAsia" w:ascii="Times New Roman" w:hAnsi="Times New Roman" w:eastAsia="宋体" w:cs="Times New Roman"/>
                <w:color w:val="auto"/>
                <w:sz w:val="21"/>
                <w:szCs w:val="21"/>
                <w:highlight w:val="none"/>
                <w:vertAlign w:val="baseline"/>
                <w:lang w:val="en-US" w:eastAsia="zh-CN"/>
              </w:rPr>
              <w:t>沉淀池</w:t>
            </w:r>
          </w:p>
        </w:tc>
        <w:tc>
          <w:tcPr>
            <w:tcW w:w="2106" w:type="dxa"/>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处理后作为清净下水排入园区雨水管网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972" w:type="dxa"/>
            <w:gridSpan w:val="2"/>
            <w:noWrap w:val="0"/>
            <w:vAlign w:val="center"/>
          </w:tcPr>
          <w:p>
            <w:pPr>
              <w:widowControl/>
              <w:adjustRightInd w:val="0"/>
              <w:snapToGrid w:val="0"/>
              <w:spacing w:before="60" w:after="0" w:afterLines="0" w:line="240" w:lineRule="auto"/>
              <w:ind w:right="113"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纯水设备排水</w:t>
            </w:r>
          </w:p>
        </w:tc>
        <w:tc>
          <w:tcPr>
            <w:tcW w:w="1705" w:type="dxa"/>
            <w:vMerge w:val="continue"/>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lang w:val="en-US" w:eastAsia="zh-CN"/>
              </w:rPr>
            </w:pPr>
          </w:p>
        </w:tc>
        <w:tc>
          <w:tcPr>
            <w:tcW w:w="2100" w:type="dxa"/>
            <w:vMerge w:val="continue"/>
            <w:noWrap w:val="0"/>
            <w:vAlign w:val="center"/>
          </w:tcPr>
          <w:p>
            <w:pPr>
              <w:spacing w:line="240" w:lineRule="auto"/>
              <w:jc w:val="center"/>
              <w:rPr>
                <w:rFonts w:hint="eastAsia" w:ascii="Times New Roman" w:hAnsi="Times New Roman" w:eastAsia="宋体" w:cs="Times New Roman"/>
                <w:color w:val="auto"/>
                <w:sz w:val="21"/>
                <w:szCs w:val="21"/>
                <w:lang w:eastAsia="zh-CN"/>
              </w:rPr>
            </w:pPr>
          </w:p>
        </w:tc>
        <w:tc>
          <w:tcPr>
            <w:tcW w:w="2106" w:type="dxa"/>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972"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rPr>
              <w:t>锅炉、循环泵、补水</w:t>
            </w:r>
            <w:r>
              <w:rPr>
                <w:rFonts w:hint="eastAsia" w:eastAsia="宋体"/>
                <w:color w:val="auto"/>
                <w:sz w:val="21"/>
                <w:szCs w:val="21"/>
                <w:highlight w:val="none"/>
                <w:lang w:eastAsia="zh-CN"/>
              </w:rPr>
              <w:t>泵</w:t>
            </w:r>
            <w:r>
              <w:rPr>
                <w:rFonts w:hint="eastAsia"/>
                <w:color w:val="auto"/>
                <w:sz w:val="21"/>
                <w:szCs w:val="21"/>
                <w:highlight w:val="none"/>
              </w:rPr>
              <w:t>、</w:t>
            </w:r>
            <w:r>
              <w:rPr>
                <w:rFonts w:hint="eastAsia"/>
                <w:color w:val="auto"/>
                <w:sz w:val="21"/>
                <w:szCs w:val="21"/>
                <w:highlight w:val="none"/>
                <w:lang w:val="en-US" w:eastAsia="zh-CN"/>
              </w:rPr>
              <w:t>空压机、纯水制备机、净菜线、压滤机等生产设备</w:t>
            </w:r>
          </w:p>
        </w:tc>
        <w:tc>
          <w:tcPr>
            <w:tcW w:w="17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连续等效A声级</w:t>
            </w:r>
          </w:p>
        </w:tc>
        <w:tc>
          <w:tcPr>
            <w:tcW w:w="210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eastAsia"/>
                <w:color w:val="auto"/>
                <w:kern w:val="0"/>
                <w:sz w:val="21"/>
                <w:szCs w:val="21"/>
                <w:highlight w:val="none"/>
              </w:rPr>
              <w:t>采用低噪声设备，</w:t>
            </w:r>
            <w:r>
              <w:rPr>
                <w:rFonts w:hint="eastAsia" w:eastAsia="宋体"/>
                <w:color w:val="auto"/>
                <w:kern w:val="0"/>
                <w:sz w:val="21"/>
                <w:szCs w:val="21"/>
                <w:highlight w:val="none"/>
                <w:lang w:eastAsia="zh-CN"/>
              </w:rPr>
              <w:t>采取</w:t>
            </w:r>
            <w:r>
              <w:rPr>
                <w:rFonts w:hint="eastAsia"/>
                <w:color w:val="auto"/>
                <w:kern w:val="0"/>
                <w:sz w:val="21"/>
                <w:szCs w:val="21"/>
                <w:highlight w:val="none"/>
              </w:rPr>
              <w:t>基础减振、安装隔声门窗等措施</w:t>
            </w:r>
          </w:p>
        </w:tc>
        <w:tc>
          <w:tcPr>
            <w:tcW w:w="210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厂界</w:t>
            </w:r>
            <w:r>
              <w:rPr>
                <w:rFonts w:hint="default" w:ascii="Times New Roman" w:hAnsi="Times New Roman" w:eastAsia="宋体" w:cs="Times New Roman"/>
                <w:color w:val="auto"/>
                <w:sz w:val="21"/>
                <w:szCs w:val="21"/>
                <w:highlight w:val="none"/>
              </w:rPr>
              <w:t>噪声达到</w:t>
            </w:r>
            <w:r>
              <w:rPr>
                <w:rFonts w:hint="default" w:ascii="Times New Roman" w:hAnsi="Times New Roman" w:eastAsia="宋体" w:cs="Times New Roman"/>
                <w:snapToGrid w:val="0"/>
                <w:color w:val="auto"/>
                <w:kern w:val="0"/>
                <w:sz w:val="21"/>
                <w:szCs w:val="21"/>
                <w:highlight w:val="none"/>
              </w:rPr>
              <w:t>《工业企业厂界环境噪声排放标准》（GB12348－2008）</w:t>
            </w:r>
            <w:r>
              <w:rPr>
                <w:rFonts w:hint="eastAsia" w:cs="Times New Roman"/>
                <w:snapToGrid w:val="0"/>
                <w:color w:val="auto"/>
                <w:kern w:val="0"/>
                <w:sz w:val="21"/>
                <w:szCs w:val="21"/>
                <w:highlight w:val="none"/>
                <w:lang w:val="en-US" w:eastAsia="zh-CN"/>
              </w:rPr>
              <w:t>3</w:t>
            </w:r>
            <w:r>
              <w:rPr>
                <w:rFonts w:hint="default" w:ascii="Times New Roman" w:hAnsi="Times New Roman" w:eastAsia="宋体" w:cs="Times New Roman"/>
                <w:snapToGrid w:val="0"/>
                <w:color w:val="auto"/>
                <w:kern w:val="0"/>
                <w:sz w:val="21"/>
                <w:szCs w:val="21"/>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1972"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0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0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7883" w:type="dxa"/>
            <w:gridSpan w:val="5"/>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宋体"/>
                <w:color w:val="auto"/>
                <w:kern w:val="2"/>
                <w:sz w:val="21"/>
                <w:szCs w:val="21"/>
                <w:highlight w:val="none"/>
                <w:lang w:val="en-US" w:eastAsia="zh-CN" w:bidi="ar-SA"/>
              </w:rPr>
              <w:t>生活垃圾经垃圾桶收集后</w:t>
            </w:r>
            <w:r>
              <w:rPr>
                <w:rFonts w:hint="eastAsia" w:cs="宋体"/>
                <w:color w:val="auto"/>
                <w:kern w:val="2"/>
                <w:sz w:val="21"/>
                <w:szCs w:val="21"/>
                <w:highlight w:val="none"/>
                <w:lang w:val="en-US" w:eastAsia="zh-CN" w:bidi="ar-SA"/>
              </w:rPr>
              <w:t>交由园区</w:t>
            </w:r>
            <w:r>
              <w:rPr>
                <w:rFonts w:hint="eastAsia" w:ascii="Times New Roman" w:hAnsi="Times New Roman" w:eastAsia="宋体" w:cs="宋体"/>
                <w:color w:val="auto"/>
                <w:kern w:val="2"/>
                <w:sz w:val="21"/>
                <w:szCs w:val="21"/>
                <w:highlight w:val="none"/>
                <w:lang w:val="en-US" w:eastAsia="zh-CN" w:bidi="ar-SA"/>
              </w:rPr>
              <w:t>环卫部门</w:t>
            </w:r>
            <w:r>
              <w:rPr>
                <w:rFonts w:hint="eastAsia" w:cs="宋体"/>
                <w:color w:val="auto"/>
                <w:kern w:val="2"/>
                <w:sz w:val="21"/>
                <w:szCs w:val="21"/>
                <w:highlight w:val="none"/>
                <w:lang w:val="en-US" w:eastAsia="zh-CN" w:bidi="ar-SA"/>
              </w:rPr>
              <w:t>集中处置</w:t>
            </w:r>
            <w:r>
              <w:rPr>
                <w:rFonts w:hint="eastAsia" w:ascii="Times New Roman" w:hAnsi="Times New Roman" w:eastAsia="宋体" w:cs="宋体"/>
                <w:color w:val="auto"/>
                <w:kern w:val="2"/>
                <w:sz w:val="21"/>
                <w:szCs w:val="21"/>
                <w:highlight w:val="none"/>
                <w:lang w:val="en-US" w:eastAsia="zh-CN" w:bidi="ar-SA"/>
              </w:rPr>
              <w:t>，</w:t>
            </w:r>
            <w:r>
              <w:rPr>
                <w:rFonts w:hint="eastAsia" w:cs="宋体"/>
                <w:color w:val="auto"/>
                <w:kern w:val="2"/>
                <w:sz w:val="21"/>
                <w:szCs w:val="21"/>
                <w:highlight w:val="none"/>
                <w:lang w:val="en-US" w:eastAsia="zh-CN" w:bidi="ar-SA"/>
              </w:rPr>
              <w:t>分拣杂质、过滤杂质经带盖塑料桶搜集后每日赠与周边村民作为牛羊饲料</w:t>
            </w:r>
            <w:r>
              <w:rPr>
                <w:rFonts w:hint="eastAsia" w:ascii="Times New Roman" w:hAnsi="Times New Roman" w:eastAsia="宋体" w:cs="宋体"/>
                <w:color w:val="auto"/>
                <w:kern w:val="2"/>
                <w:sz w:val="21"/>
                <w:szCs w:val="21"/>
                <w:highlight w:val="none"/>
                <w:lang w:val="en-US" w:eastAsia="zh-CN" w:bidi="ar-SA"/>
              </w:rPr>
              <w:t>，</w:t>
            </w:r>
            <w:r>
              <w:rPr>
                <w:rFonts w:hint="eastAsia" w:cs="宋体"/>
                <w:color w:val="auto"/>
                <w:kern w:val="2"/>
                <w:sz w:val="21"/>
                <w:szCs w:val="21"/>
                <w:highlight w:val="none"/>
                <w:lang w:val="en-US" w:eastAsia="zh-CN" w:bidi="ar-SA"/>
              </w:rPr>
              <w:t>污泥脱水后拉运至当地填埋场处置、纯水设备更换的滤芯交由厂家更换回收处置</w:t>
            </w:r>
            <w:r>
              <w:rPr>
                <w:rFonts w:hint="eastAsia" w:ascii="Times New Roman" w:hAnsi="Times New Roman" w:eastAsia="宋体" w:cs="宋体"/>
                <w:color w:val="auto"/>
                <w:kern w:val="2"/>
                <w:sz w:val="21"/>
                <w:szCs w:val="21"/>
                <w:highlight w:val="none"/>
                <w:lang w:val="en-US" w:eastAsia="zh-CN" w:bidi="ar-SA"/>
              </w:rPr>
              <w:t>。</w:t>
            </w:r>
            <w:r>
              <w:rPr>
                <w:rFonts w:hint="eastAsia" w:cs="宋体"/>
                <w:color w:val="auto"/>
                <w:kern w:val="2"/>
                <w:sz w:val="21"/>
                <w:szCs w:val="21"/>
                <w:highlight w:val="none"/>
                <w:lang w:val="en-US" w:eastAsia="zh-CN" w:bidi="ar-SA"/>
              </w:rPr>
              <w:t>废包装材料有价值的回收利用，无利用价值的交环卫部门处置，</w:t>
            </w:r>
            <w:r>
              <w:rPr>
                <w:rFonts w:hint="eastAsia" w:ascii="Times New Roman" w:hAnsi="Times New Roman" w:cs="宋体"/>
                <w:color w:val="auto"/>
                <w:kern w:val="2"/>
                <w:sz w:val="21"/>
                <w:szCs w:val="21"/>
                <w:highlight w:val="none"/>
                <w:lang w:val="en-US" w:eastAsia="zh-CN" w:bidi="ar-SA"/>
              </w:rPr>
              <w:t>不合格浆水人工去除包装后，浆水汇入污水处理站处理，外包装集中收集后交园区环卫部门处置，不合格酸菜收集后作为餐厨垃圾交由有资质单位处置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83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7883" w:type="dxa"/>
            <w:gridSpan w:val="5"/>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eastAsia"/>
                <w:color w:val="auto"/>
                <w:sz w:val="21"/>
                <w:szCs w:val="21"/>
              </w:rPr>
              <w:t>本项目</w:t>
            </w:r>
            <w:r>
              <w:rPr>
                <w:rFonts w:hint="eastAsia"/>
                <w:color w:val="auto"/>
                <w:sz w:val="21"/>
                <w:szCs w:val="21"/>
                <w:lang w:val="en-US" w:eastAsia="zh-CN"/>
              </w:rPr>
              <w:t>在做好污水处理设备的防渗工作后</w:t>
            </w:r>
            <w:r>
              <w:rPr>
                <w:rFonts w:hint="eastAsia"/>
                <w:color w:val="auto"/>
                <w:sz w:val="21"/>
                <w:szCs w:val="21"/>
              </w:rPr>
              <w:t>不</w:t>
            </w:r>
            <w:r>
              <w:rPr>
                <w:color w:val="auto"/>
                <w:sz w:val="21"/>
                <w:szCs w:val="21"/>
              </w:rPr>
              <w:t>存在土壤污染途径</w:t>
            </w:r>
            <w:r>
              <w:rPr>
                <w:rFonts w:hint="eastAsia"/>
                <w:color w:val="auto"/>
                <w:sz w:val="21"/>
                <w:szCs w:val="21"/>
              </w:rPr>
              <w:t>及地下水</w:t>
            </w:r>
            <w:r>
              <w:rPr>
                <w:color w:val="auto"/>
                <w:sz w:val="21"/>
                <w:szCs w:val="21"/>
              </w:rPr>
              <w:t>污染途径</w:t>
            </w:r>
            <w:r>
              <w:rPr>
                <w:rFonts w:hint="eastAsia"/>
                <w:color w:val="auto"/>
                <w:sz w:val="21"/>
                <w:szCs w:val="21"/>
              </w:rPr>
              <w:t>，不再</w:t>
            </w:r>
            <w:r>
              <w:rPr>
                <w:color w:val="auto"/>
                <w:sz w:val="21"/>
                <w:szCs w:val="21"/>
              </w:rPr>
              <w:t>对土壤和地下水不作评价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7883" w:type="dxa"/>
            <w:gridSpan w:val="5"/>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7" w:type="dxa"/>
            <w:noWrap w:val="0"/>
            <w:vAlign w:val="center"/>
          </w:tcPr>
          <w:p>
            <w:pPr>
              <w:adjustRightInd w:val="0"/>
              <w:snapToGrid w:val="0"/>
              <w:spacing w:line="240" w:lineRule="auto"/>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环境风险防范措施</w:t>
            </w:r>
          </w:p>
        </w:tc>
        <w:tc>
          <w:tcPr>
            <w:tcW w:w="7883" w:type="dxa"/>
            <w:gridSpan w:val="5"/>
            <w:noWrap w:val="0"/>
            <w:vAlign w:val="center"/>
          </w:tcPr>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1、企业在该项目生产和安全管理中要密切注意事故易发部位，做好运行监好检查与维修保养，防患于未然；</w:t>
            </w:r>
          </w:p>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2、布置必须符合《建筑设计防火规范》中相应的消防、防火防爆要求；</w:t>
            </w:r>
          </w:p>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3、配备天然气报警装置和足量的灭火器及消防设施；</w:t>
            </w:r>
          </w:p>
          <w:p>
            <w:pPr>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4、管理人员必须经过专业知识培训，熟悉物品的特性、事故处理办法和防护知识，持证上岗，同时，必须配备有关的个人防护用品。</w:t>
            </w:r>
          </w:p>
          <w:p>
            <w:pPr>
              <w:spacing w:line="240" w:lineRule="auto"/>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制定突发环境事件应急预案，针对于各类环境风险事件制定应急处理措施，防止事态扩大</w:t>
            </w: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6、酒精</w:t>
            </w:r>
            <w:r>
              <w:rPr>
                <w:rFonts w:hint="eastAsia" w:ascii="Times New Roman" w:hAnsi="Times New Roman" w:eastAsia="宋体" w:cs="Times New Roman"/>
                <w:color w:val="auto"/>
                <w:sz w:val="21"/>
                <w:szCs w:val="21"/>
                <w:highlight w:val="none"/>
                <w:lang w:val="en-US" w:eastAsia="zh-CN"/>
              </w:rPr>
              <w:t>储存过程中</w:t>
            </w:r>
            <w:r>
              <w:rPr>
                <w:rFonts w:hint="eastAsia" w:ascii="Times New Roman" w:hAnsi="Times New Roman" w:cs="Times New Roman"/>
                <w:color w:val="auto"/>
                <w:sz w:val="21"/>
                <w:szCs w:val="21"/>
                <w:highlight w:val="none"/>
                <w:lang w:val="en-US" w:eastAsia="zh-CN"/>
              </w:rPr>
              <w:t>委派专人清点、管理</w:t>
            </w:r>
            <w:r>
              <w:rPr>
                <w:rFonts w:hint="eastAsia" w:ascii="Times New Roman" w:hAnsi="Times New Roman" w:eastAsia="宋体" w:cs="Times New Roman"/>
                <w:color w:val="auto"/>
                <w:sz w:val="21"/>
                <w:szCs w:val="21"/>
                <w:highlight w:val="none"/>
                <w:lang w:val="en-US" w:eastAsia="zh-CN"/>
              </w:rPr>
              <w:t>，发生泄漏的概率很小，且发生泄漏后能及时发现，及时处理，环境风险影响总体较小。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03" w:hRule="atLeast"/>
          <w:jc w:val="center"/>
        </w:trPr>
        <w:tc>
          <w:tcPr>
            <w:tcW w:w="837" w:type="dxa"/>
            <w:noWrap w:val="0"/>
            <w:vAlign w:val="center"/>
          </w:tcPr>
          <w:p>
            <w:pPr>
              <w:adjustRightInd w:val="0"/>
              <w:snapToGrid w:val="0"/>
              <w:spacing w:line="240" w:lineRule="auto"/>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其他环境管理要求</w:t>
            </w:r>
          </w:p>
        </w:tc>
        <w:tc>
          <w:tcPr>
            <w:tcW w:w="7883" w:type="dxa"/>
            <w:gridSpan w:val="5"/>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val="en-US" w:eastAsia="zh-CN"/>
              </w:rPr>
              <w:t>1.</w:t>
            </w:r>
            <w:r>
              <w:rPr>
                <w:rFonts w:hint="default" w:ascii="Times New Roman" w:hAnsi="Times New Roman" w:eastAsia="宋体" w:cs="Times New Roman"/>
                <w:snapToGrid w:val="0"/>
                <w:color w:val="auto"/>
                <w:sz w:val="21"/>
                <w:szCs w:val="21"/>
              </w:rPr>
              <w:t>项目建成</w:t>
            </w:r>
            <w:r>
              <w:rPr>
                <w:rFonts w:hint="default" w:ascii="Times New Roman" w:hAnsi="Times New Roman" w:eastAsia="宋体" w:cs="Times New Roman"/>
                <w:snapToGrid w:val="0"/>
                <w:color w:val="auto"/>
                <w:sz w:val="21"/>
                <w:szCs w:val="21"/>
                <w:lang w:val="en-US" w:eastAsia="zh-CN"/>
              </w:rPr>
              <w:t>后应</w:t>
            </w:r>
            <w:r>
              <w:rPr>
                <w:rFonts w:hint="default" w:ascii="Times New Roman" w:hAnsi="Times New Roman" w:eastAsia="宋体" w:cs="Times New Roman"/>
                <w:snapToGrid w:val="0"/>
                <w:color w:val="auto"/>
                <w:sz w:val="21"/>
                <w:szCs w:val="21"/>
              </w:rPr>
              <w:t>根据《固定污染源排污许可分类管理名录（2019版）》（部令第11号），进行企业的排污许可相关工作</w:t>
            </w:r>
            <w:r>
              <w:rPr>
                <w:rFonts w:hint="default" w:ascii="Times New Roman" w:hAnsi="Times New Roman" w:eastAsia="宋体" w:cs="Times New Roman"/>
                <w:snapToGrid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2.</w:t>
            </w:r>
            <w:r>
              <w:rPr>
                <w:rFonts w:hint="default" w:ascii="Times New Roman" w:hAnsi="Times New Roman" w:eastAsia="宋体" w:cs="Times New Roman"/>
                <w:snapToGrid w:val="0"/>
                <w:color w:val="auto"/>
                <w:sz w:val="21"/>
                <w:szCs w:val="21"/>
              </w:rPr>
              <w:t>根据《建设项目环境保护管理条例》（国务院第682号令），建设项目竣工后，建设单位应按照国务院环境保护行政主管部门规定的标准和程序进行竣工环境保护验收</w:t>
            </w:r>
            <w:r>
              <w:rPr>
                <w:rFonts w:hint="default" w:ascii="Times New Roman" w:hAnsi="Times New Roman" w:eastAsia="宋体" w:cs="Times New Roman"/>
                <w:snapToGrid w:val="0"/>
                <w:color w:val="auto"/>
                <w:sz w:val="21"/>
                <w:szCs w:val="21"/>
                <w:lang w:val="en-US" w:eastAsia="zh-CN"/>
              </w:rPr>
              <w:t>工作。</w:t>
            </w: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pStyle w:val="34"/>
              <w:rPr>
                <w:rFonts w:hint="eastAsia" w:ascii="Times New Roman" w:hAnsi="Times New Roman" w:eastAsia="宋体" w:cs="Times New Roman"/>
                <w:color w:val="auto"/>
                <w:sz w:val="21"/>
                <w:szCs w:val="21"/>
                <w:lang w:val="en-US" w:eastAsia="zh-CN"/>
              </w:rPr>
            </w:pPr>
          </w:p>
          <w:p>
            <w:pPr>
              <w:pStyle w:val="7"/>
              <w:rPr>
                <w:rFonts w:hint="eastAsia" w:ascii="Times New Roman" w:hAnsi="Times New Roman" w:eastAsia="宋体" w:cs="Times New Roman"/>
                <w:color w:val="auto"/>
                <w:sz w:val="21"/>
                <w:szCs w:val="21"/>
                <w:lang w:val="en-US" w:eastAsia="zh-CN"/>
              </w:rPr>
            </w:pPr>
          </w:p>
          <w:p>
            <w:pPr>
              <w:rPr>
                <w:rFonts w:hint="eastAsia" w:ascii="Times New Roman" w:hAnsi="Times New Roman" w:eastAsia="宋体" w:cs="Times New Roman"/>
                <w:color w:val="auto"/>
                <w:sz w:val="21"/>
                <w:szCs w:val="21"/>
                <w:lang w:val="en-US" w:eastAsia="zh-CN"/>
              </w:rPr>
            </w:pPr>
          </w:p>
          <w:p>
            <w:pPr>
              <w:pStyle w:val="34"/>
              <w:rPr>
                <w:rFonts w:hint="eastAsia" w:ascii="Times New Roman" w:hAnsi="Times New Roman" w:eastAsia="宋体" w:cs="Times New Roman"/>
                <w:color w:val="auto"/>
                <w:sz w:val="21"/>
                <w:szCs w:val="21"/>
                <w:lang w:val="en-US" w:eastAsia="zh-CN"/>
              </w:rPr>
            </w:pPr>
          </w:p>
          <w:p>
            <w:pPr>
              <w:pStyle w:val="7"/>
              <w:rPr>
                <w:rFonts w:hint="eastAsia"/>
                <w:color w:val="auto"/>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pStyle w:val="2"/>
              <w:rPr>
                <w:rFonts w:hint="eastAsia" w:ascii="Times New Roman" w:hAnsi="Times New Roman" w:eastAsia="宋体" w:cs="Times New Roman"/>
                <w:color w:val="auto"/>
                <w:sz w:val="21"/>
                <w:szCs w:val="21"/>
                <w:lang w:val="en-US" w:eastAsia="zh-CN"/>
              </w:rPr>
            </w:pPr>
          </w:p>
          <w:p>
            <w:pPr>
              <w:pStyle w:val="3"/>
              <w:rPr>
                <w:rFonts w:hint="eastAsia" w:ascii="Times New Roman" w:hAnsi="Times New Roman" w:eastAsia="宋体" w:cs="Times New Roman"/>
                <w:color w:val="auto"/>
                <w:sz w:val="21"/>
                <w:szCs w:val="21"/>
                <w:lang w:val="en-US" w:eastAsia="zh-CN"/>
              </w:rPr>
            </w:pPr>
          </w:p>
          <w:p>
            <w:pPr>
              <w:rPr>
                <w:rFonts w:hint="eastAsia"/>
                <w:lang w:val="en-US" w:eastAsia="zh-CN"/>
              </w:rPr>
            </w:pPr>
            <w:bookmarkStart w:id="5" w:name="_GoBack"/>
            <w:bookmarkEnd w:id="5"/>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eastAsia" w:ascii="Times New Roman" w:hAnsi="Times New Roman" w:eastAsia="宋体" w:cs="Times New Roman"/>
                <w:color w:val="auto"/>
                <w:sz w:val="21"/>
                <w:szCs w:val="21"/>
                <w:lang w:val="en-US" w:eastAsia="zh-CN"/>
              </w:rPr>
            </w:pPr>
          </w:p>
          <w:p>
            <w:pPr>
              <w:adjustRightInd w:val="0"/>
              <w:snapToGrid w:val="0"/>
              <w:spacing w:line="240" w:lineRule="auto"/>
              <w:jc w:val="left"/>
              <w:rPr>
                <w:rFonts w:hint="default" w:ascii="Times New Roman" w:hAnsi="Times New Roman" w:eastAsia="宋体" w:cs="Times New Roman"/>
                <w:color w:val="auto"/>
                <w:sz w:val="21"/>
                <w:szCs w:val="21"/>
                <w:lang w:val="en-US" w:eastAsia="zh-CN"/>
              </w:rPr>
            </w:pPr>
          </w:p>
        </w:tc>
      </w:tr>
    </w:tbl>
    <w:p>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spacing w:before="100" w:beforeAutospacing="1" w:after="100" w:afterAutospacing="1"/>
        <w:jc w:val="center"/>
        <w:outlineLvl w:val="0"/>
        <w:rPr>
          <w:rFonts w:ascii="黑体" w:hAnsi="黑体" w:eastAsia="黑体" w:cs="Times New Roman"/>
          <w:snapToGrid w:val="0"/>
          <w:color w:val="auto"/>
          <w:kern w:val="0"/>
          <w:sz w:val="30"/>
          <w:szCs w:val="30"/>
          <w:lang w:val="en-US" w:eastAsia="zh-CN" w:bidi="ar-SA"/>
        </w:rPr>
      </w:pPr>
      <w:r>
        <w:rPr>
          <w:rFonts w:hint="eastAsia" w:ascii="黑体" w:hAnsi="黑体" w:eastAsia="黑体" w:cs="Times New Roman"/>
          <w:snapToGrid w:val="0"/>
          <w:color w:val="auto"/>
          <w:kern w:val="0"/>
          <w:sz w:val="30"/>
          <w:szCs w:val="30"/>
          <w:lang w:val="en-US" w:eastAsia="zh-CN" w:bidi="ar-SA"/>
        </w:rPr>
        <w:t>六、结论</w:t>
      </w:r>
    </w:p>
    <w:tbl>
      <w:tblPr>
        <w:tblStyle w:val="24"/>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70" w:firstLineChars="196"/>
              <w:rPr>
                <w:rFonts w:ascii="宋体" w:hAnsi="Times New Roman" w:eastAsia="宋体" w:cs="宋体"/>
                <w:color w:val="auto"/>
                <w:sz w:val="24"/>
              </w:rPr>
            </w:pPr>
            <w:r>
              <w:rPr>
                <w:rFonts w:ascii="Times New Roman" w:hAnsi="Times New Roman" w:eastAsia="宋体" w:cs="Times New Roman"/>
                <w:color w:val="auto"/>
                <w:sz w:val="24"/>
              </w:rPr>
              <w:t>本项目符合国家产业政策，符合相关规划要求，选址从环境角度而言合理。项目运营期产生的污染物将对评价区域内环境产生一定的影响，本次环评针对各污染物提出了相应的防治措施，经预测，项目各污染物均可以实现达标排放，建设单位在严格落实本报告要求的各项污染防治措施，确保各项治理设施正常运行的前提下，对环境的影响在可接受的范围内。因此，本次评价认为项目建设从环境保护的角度而言是可行的。</w:t>
            </w:r>
          </w:p>
        </w:tc>
      </w:tr>
    </w:tbl>
    <w:p>
      <w:pPr>
        <w:bidi w:val="0"/>
        <w:rPr>
          <w:rFonts w:hint="eastAsia" w:ascii="黑体" w:hAnsi="黑体" w:eastAsia="黑体" w:cs="黑体"/>
          <w:color w:val="auto"/>
          <w:sz w:val="32"/>
          <w:szCs w:val="32"/>
          <w:lang w:val="en-US" w:eastAsia="zh-CN"/>
        </w:rPr>
        <w:sectPr>
          <w:footerReference r:id="rId4"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bidi w:val="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附表</w:t>
      </w:r>
    </w:p>
    <w:p>
      <w:pPr>
        <w:widowControl/>
        <w:adjustRightInd w:val="0"/>
        <w:snapToGrid w:val="0"/>
        <w:spacing w:before="0" w:beforeAutospacing="0" w:after="0" w:afterAutospacing="0" w:line="360" w:lineRule="auto"/>
        <w:jc w:val="center"/>
        <w:outlineLvl w:val="0"/>
        <w:rPr>
          <w:rFonts w:hint="eastAsia" w:ascii="方正小标宋_GBK" w:hAnsi="黑体" w:eastAsia="方正小标宋_GBK" w:cs="Times New Roman"/>
          <w:snapToGrid w:val="0"/>
          <w:color w:val="auto"/>
          <w:kern w:val="0"/>
          <w:sz w:val="38"/>
          <w:szCs w:val="38"/>
          <w:lang w:val="en-US" w:eastAsia="zh-CN" w:bidi="ar-SA"/>
        </w:rPr>
      </w:pPr>
      <w:r>
        <w:rPr>
          <w:rFonts w:hint="eastAsia" w:ascii="方正小标宋_GBK" w:hAnsi="黑体" w:eastAsia="方正小标宋_GBK" w:cs="Times New Roman"/>
          <w:snapToGrid w:val="0"/>
          <w:color w:val="auto"/>
          <w:kern w:val="0"/>
          <w:sz w:val="38"/>
          <w:szCs w:val="38"/>
          <w:lang w:val="en-US" w:eastAsia="zh-CN" w:bidi="ar-SA"/>
        </w:rPr>
        <w:t>建设项目污染物排放量汇总表</w:t>
      </w:r>
    </w:p>
    <w:tbl>
      <w:tblPr>
        <w:tblStyle w:val="24"/>
        <w:tblW w:w="1378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558"/>
        <w:gridCol w:w="1701"/>
        <w:gridCol w:w="1276"/>
        <w:gridCol w:w="1701"/>
        <w:gridCol w:w="1559"/>
        <w:gridCol w:w="1286"/>
        <w:gridCol w:w="1704"/>
        <w:gridCol w:w="15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1447" w:type="dxa"/>
            <w:tcBorders>
              <w:tl2br w:val="single" w:color="auto" w:sz="4" w:space="0"/>
            </w:tcBorders>
            <w:noWrap w:val="0"/>
            <w:tcMar>
              <w:left w:w="28" w:type="dxa"/>
              <w:right w:w="28" w:type="dxa"/>
            </w:tcMar>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6"/>
                <w:kern w:val="21"/>
                <w:sz w:val="21"/>
                <w:szCs w:val="21"/>
                <w:highlight w:val="none"/>
                <w:lang w:val="en-US" w:eastAsia="zh-CN" w:bidi="ar-SA"/>
              </w:rPr>
            </w:pPr>
            <w:r>
              <w:rPr>
                <w:rFonts w:hint="eastAsia" w:cs="Times New Roman"/>
                <w:snapToGrid w:val="0"/>
                <w:color w:val="auto"/>
                <w:spacing w:val="-6"/>
                <w:kern w:val="21"/>
                <w:sz w:val="21"/>
                <w:szCs w:val="21"/>
                <w:highlight w:val="none"/>
                <w:lang w:val="en-US" w:eastAsia="zh-CN" w:bidi="ar-SA"/>
              </w:rPr>
              <w:t xml:space="preserve">      </w:t>
            </w:r>
            <w:r>
              <w:rPr>
                <w:rFonts w:ascii="Times New Roman" w:hAnsi="Times New Roman" w:eastAsia="宋体" w:cs="Times New Roman"/>
                <w:snapToGrid w:val="0"/>
                <w:color w:val="auto"/>
                <w:spacing w:val="-6"/>
                <w:kern w:val="21"/>
                <w:sz w:val="21"/>
                <w:szCs w:val="21"/>
                <w:highlight w:val="none"/>
                <w:lang w:val="en-US" w:eastAsia="zh-CN" w:bidi="ar-SA"/>
              </w:rPr>
              <w:t>项目</w:t>
            </w:r>
          </w:p>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6"/>
                <w:kern w:val="21"/>
                <w:sz w:val="21"/>
                <w:szCs w:val="21"/>
                <w:highlight w:val="none"/>
                <w:lang w:val="en-US" w:eastAsia="zh-CN" w:bidi="ar-SA"/>
              </w:rPr>
            </w:pPr>
          </w:p>
          <w:p>
            <w:pPr>
              <w:widowControl w:val="0"/>
              <w:adjustRightInd w:val="0"/>
              <w:snapToGrid w:val="0"/>
              <w:spacing w:beforeLines="0" w:afterLines="0" w:line="240" w:lineRule="auto"/>
              <w:jc w:val="both"/>
              <w:rPr>
                <w:rFonts w:ascii="Times New Roman" w:hAnsi="Times New Roman" w:eastAsia="宋体" w:cs="Times New Roman"/>
                <w:snapToGrid w:val="0"/>
                <w:color w:val="auto"/>
                <w:spacing w:val="-6"/>
                <w:kern w:val="21"/>
                <w:sz w:val="21"/>
                <w:szCs w:val="21"/>
                <w:highlight w:val="none"/>
                <w:lang w:val="en-US" w:eastAsia="zh-CN" w:bidi="ar-SA"/>
              </w:rPr>
            </w:pPr>
            <w:r>
              <w:rPr>
                <w:rFonts w:ascii="Times New Roman" w:hAnsi="Times New Roman" w:eastAsia="宋体" w:cs="Times New Roman"/>
                <w:snapToGrid w:val="0"/>
                <w:color w:val="auto"/>
                <w:spacing w:val="-6"/>
                <w:kern w:val="21"/>
                <w:sz w:val="21"/>
                <w:szCs w:val="21"/>
                <w:highlight w:val="none"/>
                <w:lang w:val="en-US" w:eastAsia="zh-CN" w:bidi="ar-SA"/>
              </w:rPr>
              <w:t>分类</w:t>
            </w:r>
          </w:p>
        </w:tc>
        <w:tc>
          <w:tcPr>
            <w:tcW w:w="1558" w:type="dxa"/>
            <w:noWrap w:val="0"/>
            <w:tcMar>
              <w:left w:w="28" w:type="dxa"/>
              <w:right w:w="28" w:type="dxa"/>
            </w:tcMar>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6"/>
                <w:kern w:val="21"/>
                <w:sz w:val="21"/>
                <w:szCs w:val="21"/>
                <w:highlight w:val="none"/>
                <w:lang w:val="en-US" w:eastAsia="zh-CN" w:bidi="ar-SA"/>
              </w:rPr>
            </w:pPr>
            <w:r>
              <w:rPr>
                <w:rFonts w:ascii="Times New Roman" w:hAnsi="Times New Roman" w:eastAsia="宋体" w:cs="Times New Roman"/>
                <w:snapToGrid w:val="0"/>
                <w:color w:val="auto"/>
                <w:spacing w:val="-6"/>
                <w:kern w:val="21"/>
                <w:sz w:val="21"/>
                <w:szCs w:val="21"/>
                <w:highlight w:val="none"/>
                <w:lang w:val="en-US" w:eastAsia="zh-CN" w:bidi="ar-SA"/>
              </w:rPr>
              <w:t>污染物名称</w:t>
            </w:r>
          </w:p>
        </w:tc>
        <w:tc>
          <w:tcPr>
            <w:tcW w:w="1701" w:type="dxa"/>
            <w:noWrap w:val="0"/>
            <w:tcMar>
              <w:left w:w="28" w:type="dxa"/>
              <w:right w:w="28" w:type="dxa"/>
            </w:tcMar>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6"/>
                <w:kern w:val="21"/>
                <w:sz w:val="21"/>
                <w:szCs w:val="21"/>
                <w:highlight w:val="none"/>
                <w:lang w:val="en-US" w:eastAsia="zh-CN" w:bidi="ar-SA"/>
              </w:rPr>
            </w:pPr>
            <w:r>
              <w:rPr>
                <w:rFonts w:ascii="Times New Roman" w:hAnsi="Times New Roman" w:eastAsia="宋体" w:cs="Times New Roman"/>
                <w:snapToGrid w:val="0"/>
                <w:color w:val="auto"/>
                <w:spacing w:val="-6"/>
                <w:kern w:val="21"/>
                <w:sz w:val="21"/>
                <w:szCs w:val="21"/>
                <w:highlight w:val="none"/>
                <w:lang w:val="en-US" w:eastAsia="zh-CN" w:bidi="ar-SA"/>
              </w:rPr>
              <w:t>现有工程</w:t>
            </w:r>
          </w:p>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6"/>
                <w:kern w:val="21"/>
                <w:sz w:val="21"/>
                <w:szCs w:val="21"/>
                <w:highlight w:val="none"/>
                <w:lang w:val="en-US" w:eastAsia="zh-CN" w:bidi="ar-SA"/>
              </w:rPr>
            </w:pPr>
            <w:r>
              <w:rPr>
                <w:rFonts w:ascii="Times New Roman" w:hAnsi="Times New Roman" w:eastAsia="宋体" w:cs="Times New Roman"/>
                <w:snapToGrid w:val="0"/>
                <w:color w:val="auto"/>
                <w:spacing w:val="-6"/>
                <w:kern w:val="21"/>
                <w:sz w:val="21"/>
                <w:szCs w:val="21"/>
                <w:highlight w:val="none"/>
                <w:lang w:val="en-US" w:eastAsia="zh-CN" w:bidi="ar-SA"/>
              </w:rPr>
              <w:t>排放量（固体废物产生量）</w:t>
            </w:r>
            <w:r>
              <w:rPr>
                <w:rFonts w:ascii="Times New Roman" w:hAnsi="Times New Roman" w:eastAsia="宋体" w:cs="Times New Roman"/>
                <w:snapToGrid w:val="0"/>
                <w:color w:val="auto"/>
                <w:spacing w:val="-6"/>
                <w:kern w:val="21"/>
                <w:sz w:val="21"/>
                <w:szCs w:val="21"/>
                <w:highlight w:val="none"/>
                <w:lang w:val="en-US" w:eastAsia="zh-CN" w:bidi="ar-SA"/>
              </w:rPr>
              <w:fldChar w:fldCharType="begin"/>
            </w:r>
            <w:r>
              <w:rPr>
                <w:rFonts w:ascii="Times New Roman" w:hAnsi="Times New Roman" w:eastAsia="宋体" w:cs="Times New Roman"/>
                <w:snapToGrid w:val="0"/>
                <w:color w:val="auto"/>
                <w:spacing w:val="-6"/>
                <w:kern w:val="21"/>
                <w:sz w:val="21"/>
                <w:szCs w:val="21"/>
                <w:highlight w:val="none"/>
                <w:lang w:val="en-US" w:eastAsia="zh-CN" w:bidi="ar-SA"/>
              </w:rPr>
              <w:instrText xml:space="preserve"> = 1 \* GB3 \* MERGEFORMAT </w:instrText>
            </w:r>
            <w:r>
              <w:rPr>
                <w:rFonts w:ascii="Times New Roman" w:hAnsi="Times New Roman" w:eastAsia="宋体" w:cs="Times New Roman"/>
                <w:snapToGrid w:val="0"/>
                <w:color w:val="auto"/>
                <w:spacing w:val="-6"/>
                <w:kern w:val="21"/>
                <w:sz w:val="21"/>
                <w:szCs w:val="21"/>
                <w:highlight w:val="none"/>
                <w:lang w:val="en-US" w:eastAsia="zh-CN" w:bidi="ar-SA"/>
              </w:rPr>
              <w:fldChar w:fldCharType="separate"/>
            </w:r>
            <w:r>
              <w:rPr>
                <w:rFonts w:ascii="Times New Roman" w:hAnsi="Times New Roman" w:eastAsia="宋体" w:cs="Times New Roman"/>
                <w:color w:val="auto"/>
                <w:kern w:val="2"/>
                <w:sz w:val="21"/>
                <w:szCs w:val="21"/>
                <w:highlight w:val="none"/>
                <w:lang w:val="en-US" w:eastAsia="zh-CN" w:bidi="ar-SA"/>
              </w:rPr>
              <w:t>①</w:t>
            </w:r>
            <w:r>
              <w:rPr>
                <w:rFonts w:ascii="Times New Roman" w:hAnsi="Times New Roman" w:eastAsia="宋体" w:cs="Times New Roman"/>
                <w:snapToGrid w:val="0"/>
                <w:color w:val="auto"/>
                <w:spacing w:val="-6"/>
                <w:kern w:val="21"/>
                <w:sz w:val="21"/>
                <w:szCs w:val="21"/>
                <w:highlight w:val="none"/>
                <w:lang w:val="en-US" w:eastAsia="zh-CN" w:bidi="ar-SA"/>
              </w:rPr>
              <w:fldChar w:fldCharType="end"/>
            </w:r>
          </w:p>
        </w:tc>
        <w:tc>
          <w:tcPr>
            <w:tcW w:w="1276" w:type="dxa"/>
            <w:noWrap w:val="0"/>
            <w:tcMar>
              <w:left w:w="28" w:type="dxa"/>
              <w:right w:w="28" w:type="dxa"/>
            </w:tcMar>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6"/>
                <w:kern w:val="21"/>
                <w:sz w:val="21"/>
                <w:szCs w:val="21"/>
                <w:highlight w:val="none"/>
                <w:lang w:val="en-US" w:eastAsia="zh-CN" w:bidi="ar-SA"/>
              </w:rPr>
            </w:pPr>
            <w:r>
              <w:rPr>
                <w:rFonts w:ascii="Times New Roman" w:hAnsi="Times New Roman" w:eastAsia="宋体" w:cs="Times New Roman"/>
                <w:snapToGrid w:val="0"/>
                <w:color w:val="auto"/>
                <w:spacing w:val="-6"/>
                <w:kern w:val="21"/>
                <w:sz w:val="21"/>
                <w:szCs w:val="21"/>
                <w:highlight w:val="none"/>
                <w:lang w:val="en-US" w:eastAsia="zh-CN" w:bidi="ar-SA"/>
              </w:rPr>
              <w:t>现有工程</w:t>
            </w:r>
          </w:p>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6"/>
                <w:kern w:val="21"/>
                <w:sz w:val="21"/>
                <w:szCs w:val="21"/>
                <w:highlight w:val="none"/>
                <w:lang w:val="en-US" w:eastAsia="zh-CN" w:bidi="ar-SA"/>
              </w:rPr>
            </w:pPr>
            <w:r>
              <w:rPr>
                <w:rFonts w:ascii="Times New Roman" w:hAnsi="Times New Roman" w:eastAsia="宋体" w:cs="Times New Roman"/>
                <w:snapToGrid w:val="0"/>
                <w:color w:val="auto"/>
                <w:spacing w:val="-6"/>
                <w:kern w:val="21"/>
                <w:sz w:val="21"/>
                <w:szCs w:val="21"/>
                <w:highlight w:val="none"/>
                <w:lang w:val="en-US" w:eastAsia="zh-CN" w:bidi="ar-SA"/>
              </w:rPr>
              <w:t>许可排放量</w:t>
            </w:r>
          </w:p>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6"/>
                <w:kern w:val="21"/>
                <w:sz w:val="21"/>
                <w:szCs w:val="21"/>
                <w:highlight w:val="none"/>
                <w:lang w:val="en-US" w:eastAsia="zh-CN" w:bidi="ar-SA"/>
              </w:rPr>
            </w:pPr>
            <w:r>
              <w:rPr>
                <w:rFonts w:ascii="Times New Roman" w:hAnsi="Times New Roman" w:eastAsia="宋体" w:cs="Times New Roman"/>
                <w:snapToGrid w:val="0"/>
                <w:color w:val="auto"/>
                <w:spacing w:val="-6"/>
                <w:kern w:val="21"/>
                <w:sz w:val="21"/>
                <w:szCs w:val="21"/>
                <w:highlight w:val="none"/>
                <w:lang w:val="en-US" w:eastAsia="zh-CN" w:bidi="ar-SA"/>
              </w:rPr>
              <w:fldChar w:fldCharType="begin"/>
            </w:r>
            <w:r>
              <w:rPr>
                <w:rFonts w:ascii="Times New Roman" w:hAnsi="Times New Roman" w:eastAsia="宋体" w:cs="Times New Roman"/>
                <w:snapToGrid w:val="0"/>
                <w:color w:val="auto"/>
                <w:spacing w:val="-6"/>
                <w:kern w:val="21"/>
                <w:sz w:val="21"/>
                <w:szCs w:val="21"/>
                <w:highlight w:val="none"/>
                <w:lang w:val="en-US" w:eastAsia="zh-CN" w:bidi="ar-SA"/>
              </w:rPr>
              <w:instrText xml:space="preserve"> = 2 \* GB3 \* MERGEFORMAT </w:instrText>
            </w:r>
            <w:r>
              <w:rPr>
                <w:rFonts w:ascii="Times New Roman" w:hAnsi="Times New Roman" w:eastAsia="宋体" w:cs="Times New Roman"/>
                <w:snapToGrid w:val="0"/>
                <w:color w:val="auto"/>
                <w:spacing w:val="-6"/>
                <w:kern w:val="21"/>
                <w:sz w:val="21"/>
                <w:szCs w:val="21"/>
                <w:highlight w:val="none"/>
                <w:lang w:val="en-US" w:eastAsia="zh-CN" w:bidi="ar-SA"/>
              </w:rPr>
              <w:fldChar w:fldCharType="separate"/>
            </w:r>
            <w:r>
              <w:rPr>
                <w:rFonts w:ascii="Times New Roman" w:hAnsi="Times New Roman" w:eastAsia="宋体" w:cs="Times New Roman"/>
                <w:snapToGrid w:val="0"/>
                <w:color w:val="auto"/>
                <w:spacing w:val="-6"/>
                <w:kern w:val="21"/>
                <w:sz w:val="21"/>
                <w:szCs w:val="21"/>
                <w:highlight w:val="none"/>
                <w:lang w:val="en-US" w:eastAsia="zh-CN" w:bidi="ar-SA"/>
              </w:rPr>
              <w:t>②</w:t>
            </w:r>
            <w:r>
              <w:rPr>
                <w:rFonts w:ascii="Times New Roman" w:hAnsi="Times New Roman" w:eastAsia="宋体" w:cs="Times New Roman"/>
                <w:snapToGrid w:val="0"/>
                <w:color w:val="auto"/>
                <w:spacing w:val="-6"/>
                <w:kern w:val="21"/>
                <w:sz w:val="21"/>
                <w:szCs w:val="21"/>
                <w:highlight w:val="none"/>
                <w:lang w:val="en-US" w:eastAsia="zh-CN" w:bidi="ar-SA"/>
              </w:rPr>
              <w:fldChar w:fldCharType="end"/>
            </w:r>
          </w:p>
        </w:tc>
        <w:tc>
          <w:tcPr>
            <w:tcW w:w="1701" w:type="dxa"/>
            <w:noWrap w:val="0"/>
            <w:tcMar>
              <w:left w:w="28" w:type="dxa"/>
              <w:right w:w="28" w:type="dxa"/>
            </w:tcMar>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6"/>
                <w:kern w:val="21"/>
                <w:sz w:val="21"/>
                <w:szCs w:val="21"/>
                <w:highlight w:val="none"/>
                <w:lang w:val="en-US" w:eastAsia="zh-CN" w:bidi="ar-SA"/>
              </w:rPr>
            </w:pPr>
            <w:r>
              <w:rPr>
                <w:rFonts w:ascii="Times New Roman" w:hAnsi="Times New Roman" w:eastAsia="宋体" w:cs="Times New Roman"/>
                <w:snapToGrid w:val="0"/>
                <w:color w:val="auto"/>
                <w:spacing w:val="-6"/>
                <w:kern w:val="21"/>
                <w:sz w:val="21"/>
                <w:szCs w:val="21"/>
                <w:highlight w:val="none"/>
                <w:lang w:val="en-US" w:eastAsia="zh-CN" w:bidi="ar-SA"/>
              </w:rPr>
              <w:t>在建工程</w:t>
            </w:r>
          </w:p>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6"/>
                <w:kern w:val="21"/>
                <w:sz w:val="21"/>
                <w:szCs w:val="21"/>
                <w:highlight w:val="none"/>
                <w:lang w:val="en-US" w:eastAsia="zh-CN" w:bidi="ar-SA"/>
              </w:rPr>
            </w:pPr>
            <w:r>
              <w:rPr>
                <w:rFonts w:ascii="Times New Roman" w:hAnsi="Times New Roman" w:eastAsia="宋体" w:cs="Times New Roman"/>
                <w:snapToGrid w:val="0"/>
                <w:color w:val="auto"/>
                <w:spacing w:val="-6"/>
                <w:kern w:val="21"/>
                <w:sz w:val="21"/>
                <w:szCs w:val="21"/>
                <w:highlight w:val="none"/>
                <w:lang w:val="en-US" w:eastAsia="zh-CN" w:bidi="ar-SA"/>
              </w:rPr>
              <w:t>排放量（固体废物产生量）</w:t>
            </w:r>
            <w:r>
              <w:rPr>
                <w:rFonts w:ascii="Times New Roman" w:hAnsi="Times New Roman" w:eastAsia="宋体" w:cs="Times New Roman"/>
                <w:snapToGrid w:val="0"/>
                <w:color w:val="auto"/>
                <w:spacing w:val="-6"/>
                <w:kern w:val="21"/>
                <w:sz w:val="21"/>
                <w:szCs w:val="21"/>
                <w:highlight w:val="none"/>
                <w:lang w:val="en-US" w:eastAsia="zh-CN" w:bidi="ar-SA"/>
              </w:rPr>
              <w:fldChar w:fldCharType="begin"/>
            </w:r>
            <w:r>
              <w:rPr>
                <w:rFonts w:ascii="Times New Roman" w:hAnsi="Times New Roman" w:eastAsia="宋体" w:cs="Times New Roman"/>
                <w:snapToGrid w:val="0"/>
                <w:color w:val="auto"/>
                <w:spacing w:val="-6"/>
                <w:kern w:val="21"/>
                <w:sz w:val="21"/>
                <w:szCs w:val="21"/>
                <w:highlight w:val="none"/>
                <w:lang w:val="en-US" w:eastAsia="zh-CN" w:bidi="ar-SA"/>
              </w:rPr>
              <w:instrText xml:space="preserve"> = 3 \* GB3 \* MERGEFORMAT </w:instrText>
            </w:r>
            <w:r>
              <w:rPr>
                <w:rFonts w:ascii="Times New Roman" w:hAnsi="Times New Roman" w:eastAsia="宋体" w:cs="Times New Roman"/>
                <w:snapToGrid w:val="0"/>
                <w:color w:val="auto"/>
                <w:spacing w:val="-6"/>
                <w:kern w:val="21"/>
                <w:sz w:val="21"/>
                <w:szCs w:val="21"/>
                <w:highlight w:val="none"/>
                <w:lang w:val="en-US" w:eastAsia="zh-CN" w:bidi="ar-SA"/>
              </w:rPr>
              <w:fldChar w:fldCharType="separate"/>
            </w:r>
            <w:r>
              <w:rPr>
                <w:rFonts w:ascii="Times New Roman" w:hAnsi="Times New Roman" w:eastAsia="宋体" w:cs="Times New Roman"/>
                <w:color w:val="auto"/>
                <w:kern w:val="2"/>
                <w:sz w:val="21"/>
                <w:szCs w:val="21"/>
                <w:highlight w:val="none"/>
                <w:lang w:val="en-US" w:eastAsia="zh-CN" w:bidi="ar-SA"/>
              </w:rPr>
              <w:t>③</w:t>
            </w:r>
            <w:r>
              <w:rPr>
                <w:rFonts w:ascii="Times New Roman" w:hAnsi="Times New Roman" w:eastAsia="宋体" w:cs="Times New Roman"/>
                <w:snapToGrid w:val="0"/>
                <w:color w:val="auto"/>
                <w:spacing w:val="-6"/>
                <w:kern w:val="21"/>
                <w:sz w:val="21"/>
                <w:szCs w:val="21"/>
                <w:highlight w:val="none"/>
                <w:lang w:val="en-US" w:eastAsia="zh-CN" w:bidi="ar-SA"/>
              </w:rPr>
              <w:fldChar w:fldCharType="end"/>
            </w:r>
          </w:p>
        </w:tc>
        <w:tc>
          <w:tcPr>
            <w:tcW w:w="1559" w:type="dxa"/>
            <w:noWrap w:val="0"/>
            <w:tcMar>
              <w:left w:w="28" w:type="dxa"/>
              <w:right w:w="28" w:type="dxa"/>
            </w:tcMar>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6"/>
                <w:kern w:val="21"/>
                <w:sz w:val="21"/>
                <w:szCs w:val="21"/>
                <w:highlight w:val="none"/>
                <w:lang w:val="en-US" w:eastAsia="zh-CN" w:bidi="ar-SA"/>
              </w:rPr>
            </w:pPr>
            <w:r>
              <w:rPr>
                <w:rFonts w:ascii="Times New Roman" w:hAnsi="Times New Roman" w:eastAsia="宋体" w:cs="Times New Roman"/>
                <w:snapToGrid w:val="0"/>
                <w:color w:val="auto"/>
                <w:spacing w:val="-6"/>
                <w:kern w:val="21"/>
                <w:sz w:val="21"/>
                <w:szCs w:val="21"/>
                <w:highlight w:val="none"/>
                <w:lang w:val="en-US" w:eastAsia="zh-CN" w:bidi="ar-SA"/>
              </w:rPr>
              <w:t>本项目</w:t>
            </w:r>
          </w:p>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6"/>
                <w:kern w:val="21"/>
                <w:sz w:val="21"/>
                <w:szCs w:val="21"/>
                <w:highlight w:val="none"/>
                <w:lang w:val="en-US" w:eastAsia="zh-CN" w:bidi="ar-SA"/>
              </w:rPr>
            </w:pPr>
            <w:r>
              <w:rPr>
                <w:rFonts w:ascii="Times New Roman" w:hAnsi="Times New Roman" w:eastAsia="宋体" w:cs="Times New Roman"/>
                <w:snapToGrid w:val="0"/>
                <w:color w:val="auto"/>
                <w:spacing w:val="-6"/>
                <w:kern w:val="21"/>
                <w:sz w:val="21"/>
                <w:szCs w:val="21"/>
                <w:highlight w:val="none"/>
                <w:lang w:val="en-US" w:eastAsia="zh-CN" w:bidi="ar-SA"/>
              </w:rPr>
              <w:t>排放量（固体废物产生量）</w:t>
            </w:r>
            <w:r>
              <w:rPr>
                <w:rFonts w:ascii="Times New Roman" w:hAnsi="Times New Roman" w:eastAsia="宋体" w:cs="Times New Roman"/>
                <w:snapToGrid w:val="0"/>
                <w:color w:val="auto"/>
                <w:spacing w:val="-6"/>
                <w:kern w:val="21"/>
                <w:sz w:val="21"/>
                <w:szCs w:val="21"/>
                <w:highlight w:val="none"/>
                <w:lang w:val="en-US" w:eastAsia="zh-CN" w:bidi="ar-SA"/>
              </w:rPr>
              <w:fldChar w:fldCharType="begin"/>
            </w:r>
            <w:r>
              <w:rPr>
                <w:rFonts w:ascii="Times New Roman" w:hAnsi="Times New Roman" w:eastAsia="宋体" w:cs="Times New Roman"/>
                <w:snapToGrid w:val="0"/>
                <w:color w:val="auto"/>
                <w:spacing w:val="-6"/>
                <w:kern w:val="21"/>
                <w:sz w:val="21"/>
                <w:szCs w:val="21"/>
                <w:highlight w:val="none"/>
                <w:lang w:val="en-US" w:eastAsia="zh-CN" w:bidi="ar-SA"/>
              </w:rPr>
              <w:instrText xml:space="preserve"> = 4 \* GB3 \* MERGEFORMAT </w:instrText>
            </w:r>
            <w:r>
              <w:rPr>
                <w:rFonts w:ascii="Times New Roman" w:hAnsi="Times New Roman" w:eastAsia="宋体" w:cs="Times New Roman"/>
                <w:snapToGrid w:val="0"/>
                <w:color w:val="auto"/>
                <w:spacing w:val="-6"/>
                <w:kern w:val="21"/>
                <w:sz w:val="21"/>
                <w:szCs w:val="21"/>
                <w:highlight w:val="none"/>
                <w:lang w:val="en-US" w:eastAsia="zh-CN" w:bidi="ar-SA"/>
              </w:rPr>
              <w:fldChar w:fldCharType="separate"/>
            </w:r>
            <w:r>
              <w:rPr>
                <w:rFonts w:ascii="Times New Roman" w:hAnsi="Times New Roman" w:eastAsia="宋体" w:cs="Times New Roman"/>
                <w:color w:val="auto"/>
                <w:kern w:val="2"/>
                <w:sz w:val="21"/>
                <w:szCs w:val="21"/>
                <w:highlight w:val="none"/>
                <w:lang w:val="en-US" w:eastAsia="zh-CN" w:bidi="ar-SA"/>
              </w:rPr>
              <w:t>④</w:t>
            </w:r>
            <w:r>
              <w:rPr>
                <w:rFonts w:ascii="Times New Roman" w:hAnsi="Times New Roman" w:eastAsia="宋体" w:cs="Times New Roman"/>
                <w:snapToGrid w:val="0"/>
                <w:color w:val="auto"/>
                <w:spacing w:val="-6"/>
                <w:kern w:val="21"/>
                <w:sz w:val="21"/>
                <w:szCs w:val="21"/>
                <w:highlight w:val="none"/>
                <w:lang w:val="en-US" w:eastAsia="zh-CN" w:bidi="ar-SA"/>
              </w:rPr>
              <w:fldChar w:fldCharType="end"/>
            </w:r>
          </w:p>
        </w:tc>
        <w:tc>
          <w:tcPr>
            <w:tcW w:w="1286" w:type="dxa"/>
            <w:noWrap w:val="0"/>
            <w:tcMar>
              <w:left w:w="28" w:type="dxa"/>
              <w:right w:w="28" w:type="dxa"/>
            </w:tcMar>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16"/>
                <w:kern w:val="21"/>
                <w:sz w:val="21"/>
                <w:szCs w:val="21"/>
                <w:highlight w:val="none"/>
                <w:lang w:val="en-US" w:eastAsia="zh-CN" w:bidi="ar-SA"/>
              </w:rPr>
            </w:pPr>
            <w:r>
              <w:rPr>
                <w:rFonts w:ascii="Times New Roman" w:hAnsi="Times New Roman" w:eastAsia="宋体" w:cs="Times New Roman"/>
                <w:snapToGrid w:val="0"/>
                <w:color w:val="auto"/>
                <w:spacing w:val="-16"/>
                <w:kern w:val="21"/>
                <w:sz w:val="21"/>
                <w:szCs w:val="21"/>
                <w:highlight w:val="none"/>
                <w:lang w:val="en-US" w:eastAsia="zh-CN" w:bidi="ar-SA"/>
              </w:rPr>
              <w:t>以新带老削减量</w:t>
            </w:r>
          </w:p>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16"/>
                <w:kern w:val="21"/>
                <w:sz w:val="21"/>
                <w:szCs w:val="21"/>
                <w:highlight w:val="none"/>
                <w:lang w:val="en-US" w:eastAsia="zh-CN" w:bidi="ar-SA"/>
              </w:rPr>
            </w:pPr>
            <w:r>
              <w:rPr>
                <w:rFonts w:ascii="Times New Roman" w:hAnsi="Times New Roman" w:eastAsia="宋体" w:cs="Times New Roman"/>
                <w:snapToGrid w:val="0"/>
                <w:color w:val="auto"/>
                <w:spacing w:val="-16"/>
                <w:kern w:val="21"/>
                <w:sz w:val="21"/>
                <w:szCs w:val="21"/>
                <w:highlight w:val="none"/>
                <w:lang w:val="en-US" w:eastAsia="zh-CN" w:bidi="ar-SA"/>
              </w:rPr>
              <w:t>（新建项目不填）</w:t>
            </w:r>
            <w:r>
              <w:rPr>
                <w:rFonts w:ascii="Times New Roman" w:hAnsi="Times New Roman" w:eastAsia="宋体" w:cs="Times New Roman"/>
                <w:snapToGrid w:val="0"/>
                <w:color w:val="auto"/>
                <w:spacing w:val="-16"/>
                <w:kern w:val="21"/>
                <w:sz w:val="21"/>
                <w:szCs w:val="21"/>
                <w:highlight w:val="none"/>
                <w:lang w:val="en-US" w:eastAsia="zh-CN" w:bidi="ar-SA"/>
              </w:rPr>
              <w:fldChar w:fldCharType="begin"/>
            </w:r>
            <w:r>
              <w:rPr>
                <w:rFonts w:ascii="Times New Roman" w:hAnsi="Times New Roman" w:eastAsia="宋体" w:cs="Times New Roman"/>
                <w:snapToGrid w:val="0"/>
                <w:color w:val="auto"/>
                <w:spacing w:val="-16"/>
                <w:kern w:val="21"/>
                <w:sz w:val="21"/>
                <w:szCs w:val="21"/>
                <w:highlight w:val="none"/>
                <w:lang w:val="en-US" w:eastAsia="zh-CN" w:bidi="ar-SA"/>
              </w:rPr>
              <w:instrText xml:space="preserve"> = 5 \* GB3 \* MERGEFORMAT </w:instrText>
            </w:r>
            <w:r>
              <w:rPr>
                <w:rFonts w:ascii="Times New Roman" w:hAnsi="Times New Roman" w:eastAsia="宋体" w:cs="Times New Roman"/>
                <w:snapToGrid w:val="0"/>
                <w:color w:val="auto"/>
                <w:spacing w:val="-16"/>
                <w:kern w:val="21"/>
                <w:sz w:val="21"/>
                <w:szCs w:val="21"/>
                <w:highlight w:val="none"/>
                <w:lang w:val="en-US" w:eastAsia="zh-CN" w:bidi="ar-SA"/>
              </w:rPr>
              <w:fldChar w:fldCharType="separate"/>
            </w:r>
            <w:r>
              <w:rPr>
                <w:rFonts w:ascii="Times New Roman" w:hAnsi="Times New Roman" w:eastAsia="宋体" w:cs="Times New Roman"/>
                <w:color w:val="auto"/>
                <w:kern w:val="2"/>
                <w:sz w:val="21"/>
                <w:szCs w:val="21"/>
                <w:highlight w:val="none"/>
                <w:lang w:val="en-US" w:eastAsia="zh-CN" w:bidi="ar-SA"/>
              </w:rPr>
              <w:t>⑤</w:t>
            </w:r>
            <w:r>
              <w:rPr>
                <w:rFonts w:ascii="Times New Roman" w:hAnsi="Times New Roman" w:eastAsia="宋体" w:cs="Times New Roman"/>
                <w:snapToGrid w:val="0"/>
                <w:color w:val="auto"/>
                <w:spacing w:val="-16"/>
                <w:kern w:val="21"/>
                <w:sz w:val="21"/>
                <w:szCs w:val="21"/>
                <w:highlight w:val="none"/>
                <w:lang w:val="en-US" w:eastAsia="zh-CN" w:bidi="ar-SA"/>
              </w:rPr>
              <w:fldChar w:fldCharType="end"/>
            </w:r>
          </w:p>
        </w:tc>
        <w:tc>
          <w:tcPr>
            <w:tcW w:w="1704" w:type="dxa"/>
            <w:noWrap w:val="0"/>
            <w:tcMar>
              <w:left w:w="28" w:type="dxa"/>
              <w:right w:w="28" w:type="dxa"/>
            </w:tcMar>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16"/>
                <w:kern w:val="21"/>
                <w:sz w:val="21"/>
                <w:szCs w:val="21"/>
                <w:highlight w:val="none"/>
                <w:lang w:val="en-US" w:eastAsia="zh-CN" w:bidi="ar-SA"/>
              </w:rPr>
            </w:pPr>
            <w:r>
              <w:rPr>
                <w:rFonts w:ascii="Times New Roman" w:hAnsi="Times New Roman" w:eastAsia="宋体" w:cs="Times New Roman"/>
                <w:snapToGrid w:val="0"/>
                <w:color w:val="auto"/>
                <w:spacing w:val="-16"/>
                <w:kern w:val="21"/>
                <w:sz w:val="21"/>
                <w:szCs w:val="21"/>
                <w:highlight w:val="none"/>
                <w:lang w:val="en-US" w:eastAsia="zh-CN" w:bidi="ar-SA"/>
              </w:rPr>
              <w:t>本项目建成后</w:t>
            </w:r>
          </w:p>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16"/>
                <w:kern w:val="21"/>
                <w:sz w:val="21"/>
                <w:szCs w:val="21"/>
                <w:highlight w:val="none"/>
                <w:lang w:val="en-US" w:eastAsia="zh-CN" w:bidi="ar-SA"/>
              </w:rPr>
            </w:pPr>
            <w:r>
              <w:rPr>
                <w:rFonts w:ascii="Times New Roman" w:hAnsi="Times New Roman" w:eastAsia="宋体" w:cs="Times New Roman"/>
                <w:snapToGrid w:val="0"/>
                <w:color w:val="auto"/>
                <w:spacing w:val="-16"/>
                <w:kern w:val="21"/>
                <w:sz w:val="21"/>
                <w:szCs w:val="21"/>
                <w:highlight w:val="none"/>
                <w:lang w:val="en-US" w:eastAsia="zh-CN" w:bidi="ar-SA"/>
              </w:rPr>
              <w:t>全厂排放量（固体废物产生量）</w:t>
            </w:r>
            <w:r>
              <w:rPr>
                <w:rFonts w:ascii="Times New Roman" w:hAnsi="Times New Roman" w:eastAsia="宋体" w:cs="Times New Roman"/>
                <w:snapToGrid w:val="0"/>
                <w:color w:val="auto"/>
                <w:spacing w:val="-16"/>
                <w:kern w:val="21"/>
                <w:sz w:val="21"/>
                <w:szCs w:val="21"/>
                <w:highlight w:val="none"/>
                <w:lang w:val="en-US" w:eastAsia="zh-CN" w:bidi="ar-SA"/>
              </w:rPr>
              <w:fldChar w:fldCharType="begin"/>
            </w:r>
            <w:r>
              <w:rPr>
                <w:rFonts w:ascii="Times New Roman" w:hAnsi="Times New Roman" w:eastAsia="宋体" w:cs="Times New Roman"/>
                <w:snapToGrid w:val="0"/>
                <w:color w:val="auto"/>
                <w:spacing w:val="-16"/>
                <w:kern w:val="21"/>
                <w:sz w:val="21"/>
                <w:szCs w:val="21"/>
                <w:highlight w:val="none"/>
                <w:lang w:val="en-US" w:eastAsia="zh-CN" w:bidi="ar-SA"/>
              </w:rPr>
              <w:instrText xml:space="preserve"> = 6 \* GB3 \* MERGEFORMAT </w:instrText>
            </w:r>
            <w:r>
              <w:rPr>
                <w:rFonts w:ascii="Times New Roman" w:hAnsi="Times New Roman" w:eastAsia="宋体" w:cs="Times New Roman"/>
                <w:snapToGrid w:val="0"/>
                <w:color w:val="auto"/>
                <w:spacing w:val="-16"/>
                <w:kern w:val="21"/>
                <w:sz w:val="21"/>
                <w:szCs w:val="21"/>
                <w:highlight w:val="none"/>
                <w:lang w:val="en-US" w:eastAsia="zh-CN" w:bidi="ar-SA"/>
              </w:rPr>
              <w:fldChar w:fldCharType="separate"/>
            </w:r>
            <w:r>
              <w:rPr>
                <w:rFonts w:ascii="Times New Roman" w:hAnsi="Times New Roman" w:eastAsia="宋体" w:cs="Times New Roman"/>
                <w:color w:val="auto"/>
                <w:kern w:val="2"/>
                <w:sz w:val="21"/>
                <w:szCs w:val="21"/>
                <w:highlight w:val="none"/>
                <w:lang w:val="en-US" w:eastAsia="zh-CN" w:bidi="ar-SA"/>
              </w:rPr>
              <w:t>⑥</w:t>
            </w:r>
            <w:r>
              <w:rPr>
                <w:rFonts w:ascii="Times New Roman" w:hAnsi="Times New Roman" w:eastAsia="宋体" w:cs="Times New Roman"/>
                <w:snapToGrid w:val="0"/>
                <w:color w:val="auto"/>
                <w:spacing w:val="-16"/>
                <w:kern w:val="21"/>
                <w:sz w:val="21"/>
                <w:szCs w:val="21"/>
                <w:highlight w:val="none"/>
                <w:lang w:val="en-US" w:eastAsia="zh-CN" w:bidi="ar-SA"/>
              </w:rPr>
              <w:fldChar w:fldCharType="end"/>
            </w:r>
          </w:p>
        </w:tc>
        <w:tc>
          <w:tcPr>
            <w:tcW w:w="1556" w:type="dxa"/>
            <w:noWrap w:val="0"/>
            <w:tcMar>
              <w:left w:w="28" w:type="dxa"/>
              <w:right w:w="28" w:type="dxa"/>
            </w:tcMar>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6"/>
                <w:kern w:val="21"/>
                <w:sz w:val="21"/>
                <w:szCs w:val="21"/>
                <w:highlight w:val="none"/>
                <w:lang w:val="en-US" w:eastAsia="zh-CN" w:bidi="ar-SA"/>
              </w:rPr>
            </w:pPr>
            <w:r>
              <w:rPr>
                <w:rFonts w:ascii="Times New Roman" w:hAnsi="Times New Roman" w:eastAsia="宋体" w:cs="Times New Roman"/>
                <w:snapToGrid w:val="0"/>
                <w:color w:val="auto"/>
                <w:spacing w:val="-6"/>
                <w:kern w:val="21"/>
                <w:sz w:val="21"/>
                <w:szCs w:val="21"/>
                <w:highlight w:val="none"/>
                <w:lang w:val="en-US" w:eastAsia="zh-CN" w:bidi="ar-SA"/>
              </w:rPr>
              <w:t>变化量</w:t>
            </w:r>
          </w:p>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spacing w:val="-6"/>
                <w:kern w:val="21"/>
                <w:sz w:val="21"/>
                <w:szCs w:val="21"/>
                <w:highlight w:val="none"/>
                <w:lang w:val="en-US" w:eastAsia="zh-CN" w:bidi="ar-SA"/>
              </w:rPr>
            </w:pPr>
            <w:r>
              <w:rPr>
                <w:rFonts w:ascii="Times New Roman" w:hAnsi="Times New Roman" w:eastAsia="宋体" w:cs="Times New Roman"/>
                <w:snapToGrid w:val="0"/>
                <w:color w:val="auto"/>
                <w:spacing w:val="-6"/>
                <w:kern w:val="21"/>
                <w:sz w:val="21"/>
                <w:szCs w:val="21"/>
                <w:highlight w:val="none"/>
                <w:lang w:val="en-US" w:eastAsia="zh-CN" w:bidi="ar-SA"/>
              </w:rPr>
              <w:fldChar w:fldCharType="begin"/>
            </w:r>
            <w:r>
              <w:rPr>
                <w:rFonts w:ascii="Times New Roman" w:hAnsi="Times New Roman" w:eastAsia="宋体" w:cs="Times New Roman"/>
                <w:snapToGrid w:val="0"/>
                <w:color w:val="auto"/>
                <w:spacing w:val="-6"/>
                <w:kern w:val="21"/>
                <w:sz w:val="21"/>
                <w:szCs w:val="21"/>
                <w:highlight w:val="none"/>
                <w:lang w:val="en-US" w:eastAsia="zh-CN" w:bidi="ar-SA"/>
              </w:rPr>
              <w:instrText xml:space="preserve"> = 7 \* GB3 \* MERGEFORMAT </w:instrText>
            </w:r>
            <w:r>
              <w:rPr>
                <w:rFonts w:ascii="Times New Roman" w:hAnsi="Times New Roman" w:eastAsia="宋体" w:cs="Times New Roman"/>
                <w:snapToGrid w:val="0"/>
                <w:color w:val="auto"/>
                <w:spacing w:val="-6"/>
                <w:kern w:val="21"/>
                <w:sz w:val="21"/>
                <w:szCs w:val="21"/>
                <w:highlight w:val="none"/>
                <w:lang w:val="en-US" w:eastAsia="zh-CN" w:bidi="ar-SA"/>
              </w:rPr>
              <w:fldChar w:fldCharType="separate"/>
            </w:r>
            <w:r>
              <w:rPr>
                <w:rFonts w:ascii="Times New Roman" w:hAnsi="Times New Roman" w:eastAsia="宋体" w:cs="Times New Roman"/>
                <w:color w:val="auto"/>
                <w:kern w:val="2"/>
                <w:sz w:val="21"/>
                <w:szCs w:val="21"/>
                <w:highlight w:val="none"/>
                <w:lang w:val="en-US" w:eastAsia="zh-CN" w:bidi="ar-SA"/>
              </w:rPr>
              <w:t>⑦</w:t>
            </w:r>
            <w:r>
              <w:rPr>
                <w:rFonts w:ascii="Times New Roman" w:hAnsi="Times New Roman" w:eastAsia="宋体" w:cs="Times New Roman"/>
                <w:snapToGrid w:val="0"/>
                <w:color w:val="auto"/>
                <w:spacing w:val="-6"/>
                <w:kern w:val="21"/>
                <w:sz w:val="21"/>
                <w:szCs w:val="21"/>
                <w:highlight w:val="none"/>
                <w:lang w:val="en-US" w:eastAsia="zh-CN" w:bidi="ar-SA"/>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1447" w:type="dxa"/>
            <w:vMerge w:val="restart"/>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s="Times New Roman"/>
                <w:snapToGrid w:val="0"/>
                <w:color w:val="auto"/>
                <w:kern w:val="21"/>
                <w:sz w:val="21"/>
                <w:szCs w:val="21"/>
                <w:highlight w:val="none"/>
                <w:lang w:val="en-US" w:eastAsia="zh-CN" w:bidi="ar-SA"/>
              </w:rPr>
              <w:t>废气</w:t>
            </w:r>
          </w:p>
        </w:tc>
        <w:tc>
          <w:tcPr>
            <w:tcW w:w="1558" w:type="dxa"/>
            <w:noWrap w:val="0"/>
            <w:vAlign w:val="center"/>
          </w:tcPr>
          <w:p>
            <w:pPr>
              <w:widowControl w:val="0"/>
              <w:adjustRightInd w:val="0"/>
              <w:snapToGrid w:val="0"/>
              <w:spacing w:beforeLines="0" w:afterLines="0" w:line="240" w:lineRule="auto"/>
              <w:ind w:firstLine="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SO</w:t>
            </w:r>
            <w:r>
              <w:rPr>
                <w:rFonts w:hint="eastAsia" w:ascii="Times New Roman" w:hAnsi="Times New Roman" w:eastAsia="宋体" w:cs="Times New Roman"/>
                <w:snapToGrid w:val="0"/>
                <w:color w:val="auto"/>
                <w:kern w:val="21"/>
                <w:sz w:val="21"/>
                <w:szCs w:val="21"/>
                <w:highlight w:val="none"/>
                <w:vertAlign w:val="subscript"/>
                <w:lang w:val="en-US" w:eastAsia="zh-CN" w:bidi="ar-SA"/>
              </w:rPr>
              <w:t>2</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pPr>
              <w:widowControl w:val="0"/>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0.13t/a</w:t>
            </w:r>
          </w:p>
        </w:tc>
        <w:tc>
          <w:tcPr>
            <w:tcW w:w="1286" w:type="dxa"/>
            <w:noWrap w:val="0"/>
            <w:vAlign w:val="center"/>
          </w:tcPr>
          <w:p>
            <w:pPr>
              <w:widowControl w:val="0"/>
              <w:adjustRightInd w:val="0"/>
              <w:snapToGrid w:val="0"/>
              <w:spacing w:beforeLines="0" w:afterLines="0" w:line="240" w:lineRule="auto"/>
              <w:ind w:firstLine="0" w:firstLineChars="0"/>
              <w:jc w:val="center"/>
              <w:rPr>
                <w:rFonts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4" w:type="dxa"/>
            <w:noWrap w:val="0"/>
            <w:vAlign w:val="center"/>
          </w:tcPr>
          <w:p>
            <w:pPr>
              <w:widowControl w:val="0"/>
              <w:spacing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0.13t/a</w:t>
            </w:r>
          </w:p>
        </w:tc>
        <w:tc>
          <w:tcPr>
            <w:tcW w:w="1556" w:type="dxa"/>
            <w:noWrap w:val="0"/>
            <w:vAlign w:val="center"/>
          </w:tcPr>
          <w:p>
            <w:pPr>
              <w:widowControl w:val="0"/>
              <w:spacing w:line="240" w:lineRule="auto"/>
              <w:ind w:firstLine="0" w:firstLineChars="0"/>
              <w:jc w:val="center"/>
              <w:rPr>
                <w:rFonts w:hint="default" w:ascii="Times New Roman" w:hAnsi="Times New Roman" w:eastAsia="宋体" w:cs="Times New Roman"/>
                <w:b/>
                <w:bCs/>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47" w:type="dxa"/>
            <w:vMerge w:val="continue"/>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p>
        </w:tc>
        <w:tc>
          <w:tcPr>
            <w:tcW w:w="1558" w:type="dxa"/>
            <w:noWrap w:val="0"/>
            <w:vAlign w:val="center"/>
          </w:tcPr>
          <w:p>
            <w:pPr>
              <w:widowControl w:val="0"/>
              <w:adjustRightInd w:val="0"/>
              <w:snapToGrid w:val="0"/>
              <w:spacing w:beforeLines="0" w:afterLines="0" w:line="240" w:lineRule="auto"/>
              <w:ind w:firstLine="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NO</w:t>
            </w:r>
            <w:r>
              <w:rPr>
                <w:rFonts w:hint="eastAsia" w:ascii="Times New Roman" w:hAnsi="Times New Roman" w:eastAsia="宋体" w:cs="Times New Roman"/>
                <w:snapToGrid w:val="0"/>
                <w:color w:val="auto"/>
                <w:kern w:val="21"/>
                <w:sz w:val="21"/>
                <w:szCs w:val="21"/>
                <w:highlight w:val="none"/>
                <w:vertAlign w:val="subscript"/>
                <w:lang w:val="en-US" w:eastAsia="zh-CN" w:bidi="ar-SA"/>
              </w:rPr>
              <w:t>X</w:t>
            </w:r>
          </w:p>
        </w:tc>
        <w:tc>
          <w:tcPr>
            <w:tcW w:w="1701" w:type="dxa"/>
            <w:noWrap w:val="0"/>
            <w:vAlign w:val="center"/>
          </w:tcPr>
          <w:p>
            <w:pPr>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pPr>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pPr>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pPr>
              <w:widowControl w:val="0"/>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0.27t/a</w:t>
            </w:r>
          </w:p>
        </w:tc>
        <w:tc>
          <w:tcPr>
            <w:tcW w:w="1286" w:type="dxa"/>
            <w:noWrap w:val="0"/>
            <w:vAlign w:val="center"/>
          </w:tcPr>
          <w:p>
            <w:pPr>
              <w:spacing w:beforeLines="0" w:afterLines="0" w:line="240" w:lineRule="auto"/>
              <w:ind w:firstLine="0" w:firstLineChars="0"/>
              <w:jc w:val="center"/>
              <w:rPr>
                <w:rFonts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4" w:type="dxa"/>
            <w:noWrap w:val="0"/>
            <w:vAlign w:val="center"/>
          </w:tcPr>
          <w:p>
            <w:pPr>
              <w:widowControl w:val="0"/>
              <w:spacing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0.27t/a</w:t>
            </w:r>
          </w:p>
        </w:tc>
        <w:tc>
          <w:tcPr>
            <w:tcW w:w="1556" w:type="dxa"/>
            <w:noWrap w:val="0"/>
            <w:vAlign w:val="center"/>
          </w:tcPr>
          <w:p>
            <w:pPr>
              <w:widowControl w:val="0"/>
              <w:spacing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47" w:type="dxa"/>
            <w:vMerge w:val="continue"/>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p>
        </w:tc>
        <w:tc>
          <w:tcPr>
            <w:tcW w:w="1558" w:type="dxa"/>
            <w:noWrap w:val="0"/>
            <w:vAlign w:val="center"/>
          </w:tcPr>
          <w:p>
            <w:pPr>
              <w:widowControl w:val="0"/>
              <w:adjustRightInd w:val="0"/>
              <w:snapToGrid w:val="0"/>
              <w:spacing w:beforeLines="0" w:afterLines="0" w:line="240" w:lineRule="auto"/>
              <w:ind w:firstLine="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颗粒物</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pPr>
              <w:widowControl w:val="0"/>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0.19t/a</w:t>
            </w:r>
          </w:p>
        </w:tc>
        <w:tc>
          <w:tcPr>
            <w:tcW w:w="1286" w:type="dxa"/>
            <w:noWrap w:val="0"/>
            <w:vAlign w:val="center"/>
          </w:tcPr>
          <w:p>
            <w:pPr>
              <w:widowControl w:val="0"/>
              <w:adjustRightInd w:val="0"/>
              <w:snapToGrid w:val="0"/>
              <w:spacing w:beforeLines="0" w:afterLines="0" w:line="240" w:lineRule="auto"/>
              <w:ind w:firstLine="0" w:firstLineChars="0"/>
              <w:jc w:val="center"/>
              <w:rPr>
                <w:rFonts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4" w:type="dxa"/>
            <w:noWrap w:val="0"/>
            <w:vAlign w:val="center"/>
          </w:tcPr>
          <w:p>
            <w:pPr>
              <w:widowControl w:val="0"/>
              <w:spacing w:line="240" w:lineRule="auto"/>
              <w:ind w:firstLine="0" w:firstLineChars="0"/>
              <w:jc w:val="center"/>
              <w:rPr>
                <w:rFonts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0.19t/a</w:t>
            </w:r>
          </w:p>
        </w:tc>
        <w:tc>
          <w:tcPr>
            <w:tcW w:w="1556" w:type="dxa"/>
            <w:noWrap w:val="0"/>
            <w:vAlign w:val="center"/>
          </w:tcPr>
          <w:p>
            <w:pPr>
              <w:widowControl w:val="0"/>
              <w:spacing w:line="240" w:lineRule="auto"/>
              <w:ind w:firstLine="0" w:firstLineChars="0"/>
              <w:jc w:val="center"/>
              <w:rPr>
                <w:rFonts w:ascii="Times New Roman" w:hAnsi="Times New Roman" w:eastAsia="宋体" w:cs="Times New Roman"/>
                <w:b/>
                <w:bCs/>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47" w:type="dxa"/>
            <w:vMerge w:val="continue"/>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p>
        </w:tc>
        <w:tc>
          <w:tcPr>
            <w:tcW w:w="1558" w:type="dxa"/>
            <w:noWrap w:val="0"/>
            <w:vAlign w:val="center"/>
          </w:tcPr>
          <w:p>
            <w:pPr>
              <w:widowControl w:val="0"/>
              <w:adjustRightInd w:val="0"/>
              <w:snapToGrid w:val="0"/>
              <w:spacing w:beforeLines="0" w:afterLines="0" w:line="240" w:lineRule="auto"/>
              <w:ind w:firstLine="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NH</w:t>
            </w:r>
            <w:r>
              <w:rPr>
                <w:rFonts w:hint="eastAsia" w:cs="Times New Roman"/>
                <w:snapToGrid w:val="0"/>
                <w:color w:val="auto"/>
                <w:kern w:val="21"/>
                <w:sz w:val="21"/>
                <w:szCs w:val="21"/>
                <w:highlight w:val="none"/>
                <w:vertAlign w:val="subscript"/>
                <w:lang w:val="en-US" w:eastAsia="zh-CN" w:bidi="ar-SA"/>
              </w:rPr>
              <w:t>3</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pPr>
              <w:pStyle w:val="32"/>
              <w:bidi w:val="0"/>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highlight w:val="none"/>
                <w:lang w:val="en-US" w:eastAsia="zh-CN"/>
              </w:rPr>
              <w:t>0.001</w:t>
            </w:r>
            <w:r>
              <w:rPr>
                <w:rFonts w:hint="eastAsia" w:cs="Times New Roman"/>
                <w:color w:val="auto"/>
                <w:highlight w:val="none"/>
                <w:lang w:val="en-US" w:eastAsia="zh-CN"/>
              </w:rPr>
              <w:t>6</w:t>
            </w:r>
            <w:r>
              <w:rPr>
                <w:rFonts w:hint="eastAsia" w:cs="Times New Roman"/>
                <w:snapToGrid w:val="0"/>
                <w:color w:val="auto"/>
                <w:kern w:val="21"/>
                <w:sz w:val="21"/>
                <w:szCs w:val="21"/>
                <w:highlight w:val="none"/>
                <w:lang w:val="en-US" w:eastAsia="zh-CN" w:bidi="ar-SA"/>
              </w:rPr>
              <w:t>t/a</w:t>
            </w:r>
          </w:p>
        </w:tc>
        <w:tc>
          <w:tcPr>
            <w:tcW w:w="1286"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4" w:type="dxa"/>
            <w:noWrap w:val="0"/>
            <w:vAlign w:val="center"/>
          </w:tcPr>
          <w:p>
            <w:pPr>
              <w:pStyle w:val="32"/>
              <w:bidi w:val="0"/>
              <w:rPr>
                <w:rFonts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highlight w:val="none"/>
                <w:lang w:val="en-US" w:eastAsia="zh-CN"/>
              </w:rPr>
              <w:t>0.001</w:t>
            </w:r>
            <w:r>
              <w:rPr>
                <w:rFonts w:hint="eastAsia" w:cs="Times New Roman"/>
                <w:color w:val="auto"/>
                <w:highlight w:val="none"/>
                <w:lang w:val="en-US" w:eastAsia="zh-CN"/>
              </w:rPr>
              <w:t>6</w:t>
            </w:r>
            <w:r>
              <w:rPr>
                <w:rFonts w:hint="eastAsia" w:cs="Times New Roman"/>
                <w:snapToGrid w:val="0"/>
                <w:color w:val="auto"/>
                <w:kern w:val="21"/>
                <w:sz w:val="21"/>
                <w:szCs w:val="21"/>
                <w:highlight w:val="none"/>
                <w:lang w:val="en-US" w:eastAsia="zh-CN" w:bidi="ar-SA"/>
              </w:rPr>
              <w:t>t/a</w:t>
            </w:r>
          </w:p>
        </w:tc>
        <w:tc>
          <w:tcPr>
            <w:tcW w:w="1556"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47" w:type="dxa"/>
            <w:vMerge w:val="continue"/>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p>
        </w:tc>
        <w:tc>
          <w:tcPr>
            <w:tcW w:w="1558" w:type="dxa"/>
            <w:noWrap w:val="0"/>
            <w:vAlign w:val="center"/>
          </w:tcPr>
          <w:p>
            <w:pPr>
              <w:widowControl w:val="0"/>
              <w:adjustRightInd w:val="0"/>
              <w:snapToGrid w:val="0"/>
              <w:spacing w:beforeLines="0" w:afterLines="0" w:line="240" w:lineRule="auto"/>
              <w:ind w:firstLine="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H</w:t>
            </w:r>
            <w:r>
              <w:rPr>
                <w:rFonts w:hint="eastAsia" w:cs="Times New Roman"/>
                <w:snapToGrid w:val="0"/>
                <w:color w:val="auto"/>
                <w:kern w:val="21"/>
                <w:sz w:val="21"/>
                <w:szCs w:val="21"/>
                <w:highlight w:val="none"/>
                <w:vertAlign w:val="subscript"/>
                <w:lang w:val="en-US" w:eastAsia="zh-CN" w:bidi="ar-SA"/>
              </w:rPr>
              <w:t>2</w:t>
            </w:r>
            <w:r>
              <w:rPr>
                <w:rFonts w:hint="eastAsia" w:cs="Times New Roman"/>
                <w:snapToGrid w:val="0"/>
                <w:color w:val="auto"/>
                <w:kern w:val="21"/>
                <w:sz w:val="21"/>
                <w:szCs w:val="21"/>
                <w:highlight w:val="none"/>
                <w:lang w:val="en-US" w:eastAsia="zh-CN" w:bidi="ar-SA"/>
              </w:rPr>
              <w:t>S</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pPr>
              <w:pStyle w:val="32"/>
              <w:bidi w:val="0"/>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highlight w:val="none"/>
                <w:lang w:val="en-US" w:eastAsia="zh-CN"/>
              </w:rPr>
              <w:t>0.0000</w:t>
            </w:r>
            <w:r>
              <w:rPr>
                <w:rFonts w:hint="eastAsia" w:cs="Times New Roman"/>
                <w:color w:val="auto"/>
                <w:highlight w:val="none"/>
                <w:lang w:val="en-US" w:eastAsia="zh-CN"/>
              </w:rPr>
              <w:t>6</w:t>
            </w:r>
            <w:r>
              <w:rPr>
                <w:rFonts w:hint="eastAsia" w:cs="Times New Roman"/>
                <w:snapToGrid w:val="0"/>
                <w:color w:val="auto"/>
                <w:kern w:val="21"/>
                <w:sz w:val="21"/>
                <w:szCs w:val="21"/>
                <w:highlight w:val="none"/>
                <w:lang w:val="en-US" w:eastAsia="zh-CN" w:bidi="ar-SA"/>
              </w:rPr>
              <w:t>t/a</w:t>
            </w:r>
          </w:p>
        </w:tc>
        <w:tc>
          <w:tcPr>
            <w:tcW w:w="1286"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4" w:type="dxa"/>
            <w:noWrap w:val="0"/>
            <w:vAlign w:val="center"/>
          </w:tcPr>
          <w:p>
            <w:pPr>
              <w:pStyle w:val="32"/>
              <w:bidi w:val="0"/>
              <w:rPr>
                <w:rFonts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highlight w:val="none"/>
                <w:lang w:val="en-US" w:eastAsia="zh-CN"/>
              </w:rPr>
              <w:t>0.0000</w:t>
            </w:r>
            <w:r>
              <w:rPr>
                <w:rFonts w:hint="eastAsia" w:cs="Times New Roman"/>
                <w:color w:val="auto"/>
                <w:highlight w:val="none"/>
                <w:lang w:val="en-US" w:eastAsia="zh-CN"/>
              </w:rPr>
              <w:t>6</w:t>
            </w:r>
            <w:r>
              <w:rPr>
                <w:rFonts w:hint="eastAsia" w:cs="Times New Roman"/>
                <w:snapToGrid w:val="0"/>
                <w:color w:val="auto"/>
                <w:kern w:val="21"/>
                <w:sz w:val="21"/>
                <w:szCs w:val="21"/>
                <w:highlight w:val="none"/>
                <w:lang w:val="en-US" w:eastAsia="zh-CN" w:bidi="ar-SA"/>
              </w:rPr>
              <w:t>t/a</w:t>
            </w:r>
          </w:p>
        </w:tc>
        <w:tc>
          <w:tcPr>
            <w:tcW w:w="1556"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47" w:type="dxa"/>
            <w:vMerge w:val="restart"/>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s="Times New Roman"/>
                <w:snapToGrid w:val="0"/>
                <w:color w:val="auto"/>
                <w:kern w:val="21"/>
                <w:sz w:val="21"/>
                <w:szCs w:val="21"/>
                <w:highlight w:val="none"/>
                <w:lang w:val="en-US" w:eastAsia="zh-CN" w:bidi="ar-SA"/>
              </w:rPr>
              <w:t>废水</w:t>
            </w:r>
          </w:p>
        </w:tc>
        <w:tc>
          <w:tcPr>
            <w:tcW w:w="1558" w:type="dxa"/>
            <w:noWrap w:val="0"/>
            <w:vAlign w:val="center"/>
          </w:tcPr>
          <w:p>
            <w:pPr>
              <w:widowControl w:val="0"/>
              <w:adjustRightInd w:val="0"/>
              <w:snapToGrid w:val="0"/>
              <w:spacing w:beforeLines="0" w:afterLines="0" w:line="240" w:lineRule="auto"/>
              <w:ind w:firstLine="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生活污水</w:t>
            </w:r>
            <w:r>
              <w:rPr>
                <w:rFonts w:hint="eastAsia" w:cs="Times New Roman"/>
                <w:snapToGrid w:val="0"/>
                <w:color w:val="auto"/>
                <w:kern w:val="21"/>
                <w:sz w:val="21"/>
                <w:szCs w:val="21"/>
                <w:highlight w:val="none"/>
                <w:lang w:val="en-US" w:eastAsia="zh-CN" w:bidi="ar-SA"/>
              </w:rPr>
              <w:t>及食堂废水</w:t>
            </w:r>
          </w:p>
        </w:tc>
        <w:tc>
          <w:tcPr>
            <w:tcW w:w="1701" w:type="dxa"/>
            <w:noWrap w:val="0"/>
            <w:vAlign w:val="center"/>
          </w:tcPr>
          <w:p>
            <w:pPr>
              <w:spacing w:beforeLines="0" w:afterLines="0" w:line="240" w:lineRule="auto"/>
              <w:ind w:firstLine="0" w:firstLineChars="0"/>
              <w:jc w:val="center"/>
              <w:rPr>
                <w:rFonts w:ascii="宋体"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pPr>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pPr>
              <w:spacing w:beforeLines="0" w:afterLines="0" w:line="240" w:lineRule="auto"/>
              <w:ind w:firstLine="0" w:firstLineChars="0"/>
              <w:jc w:val="center"/>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pPr>
              <w:widowControl w:val="0"/>
              <w:spacing w:line="240" w:lineRule="auto"/>
              <w:ind w:firstLine="0" w:firstLineChars="0"/>
              <w:jc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642.6m</w:t>
            </w:r>
            <w:r>
              <w:rPr>
                <w:rFonts w:hint="eastAsia" w:cs="Times New Roman"/>
                <w:snapToGrid w:val="0"/>
                <w:color w:val="auto"/>
                <w:kern w:val="21"/>
                <w:sz w:val="21"/>
                <w:szCs w:val="21"/>
                <w:highlight w:val="none"/>
                <w:vertAlign w:val="superscript"/>
                <w:lang w:val="en-US" w:eastAsia="zh-CN" w:bidi="ar-SA"/>
              </w:rPr>
              <w:t>3</w:t>
            </w:r>
            <w:r>
              <w:rPr>
                <w:rFonts w:hint="eastAsia" w:cs="Times New Roman"/>
                <w:snapToGrid w:val="0"/>
                <w:color w:val="auto"/>
                <w:kern w:val="21"/>
                <w:sz w:val="21"/>
                <w:szCs w:val="21"/>
                <w:highlight w:val="none"/>
                <w:lang w:val="en-US" w:eastAsia="zh-CN" w:bidi="ar-SA"/>
              </w:rPr>
              <w:t>/a</w:t>
            </w:r>
          </w:p>
        </w:tc>
        <w:tc>
          <w:tcPr>
            <w:tcW w:w="1286" w:type="dxa"/>
            <w:noWrap w:val="0"/>
            <w:vAlign w:val="center"/>
          </w:tcPr>
          <w:p>
            <w:pPr>
              <w:spacing w:beforeLines="0" w:afterLines="0" w:line="240" w:lineRule="auto"/>
              <w:ind w:firstLine="0" w:firstLineChars="0"/>
              <w:jc w:val="center"/>
              <w:rPr>
                <w:rFonts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4" w:type="dxa"/>
            <w:noWrap w:val="0"/>
            <w:vAlign w:val="center"/>
          </w:tcPr>
          <w:p>
            <w:pPr>
              <w:widowControl w:val="0"/>
              <w:spacing w:line="240" w:lineRule="auto"/>
              <w:ind w:firstLine="0" w:firstLineChars="0"/>
              <w:jc w:val="center"/>
              <w:rPr>
                <w:rFonts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642.6m</w:t>
            </w:r>
            <w:r>
              <w:rPr>
                <w:rFonts w:hint="eastAsia" w:cs="Times New Roman"/>
                <w:snapToGrid w:val="0"/>
                <w:color w:val="auto"/>
                <w:kern w:val="21"/>
                <w:sz w:val="21"/>
                <w:szCs w:val="21"/>
                <w:highlight w:val="none"/>
                <w:vertAlign w:val="superscript"/>
                <w:lang w:val="en-US" w:eastAsia="zh-CN" w:bidi="ar-SA"/>
              </w:rPr>
              <w:t>3</w:t>
            </w:r>
            <w:r>
              <w:rPr>
                <w:rFonts w:hint="eastAsia" w:cs="Times New Roman"/>
                <w:snapToGrid w:val="0"/>
                <w:color w:val="auto"/>
                <w:kern w:val="21"/>
                <w:sz w:val="21"/>
                <w:szCs w:val="21"/>
                <w:highlight w:val="none"/>
                <w:lang w:val="en-US" w:eastAsia="zh-CN" w:bidi="ar-SA"/>
              </w:rPr>
              <w:t>/a</w:t>
            </w:r>
          </w:p>
        </w:tc>
        <w:tc>
          <w:tcPr>
            <w:tcW w:w="1556" w:type="dxa"/>
            <w:noWrap w:val="0"/>
            <w:vAlign w:val="center"/>
          </w:tcPr>
          <w:p>
            <w:pPr>
              <w:widowControl w:val="0"/>
              <w:spacing w:line="240" w:lineRule="auto"/>
              <w:ind w:firstLine="0" w:firstLineChars="0"/>
              <w:jc w:val="center"/>
              <w:rPr>
                <w:rFonts w:ascii="Times New Roman" w:hAnsi="Times New Roman" w:eastAsia="宋体" w:cs="Times New Roman"/>
                <w:b/>
                <w:bCs/>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47" w:type="dxa"/>
            <w:vMerge w:val="continue"/>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p>
        </w:tc>
        <w:tc>
          <w:tcPr>
            <w:tcW w:w="1558" w:type="dxa"/>
            <w:noWrap w:val="0"/>
            <w:vAlign w:val="center"/>
          </w:tcPr>
          <w:p>
            <w:pPr>
              <w:widowControl w:val="0"/>
              <w:adjustRightInd w:val="0"/>
              <w:snapToGrid w:val="0"/>
              <w:spacing w:beforeLines="0" w:afterLines="0" w:line="240" w:lineRule="auto"/>
              <w:ind w:firstLine="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生产废水</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pPr>
              <w:widowControl w:val="0"/>
              <w:spacing w:line="240" w:lineRule="auto"/>
              <w:ind w:firstLine="0" w:firstLineChars="0"/>
              <w:jc w:val="center"/>
              <w:rPr>
                <w:rFonts w:hint="default" w:cs="Times New Roman"/>
                <w:snapToGrid w:val="0"/>
                <w:color w:val="auto"/>
                <w:kern w:val="21"/>
                <w:sz w:val="21"/>
                <w:szCs w:val="21"/>
                <w:highlight w:val="none"/>
                <w:lang w:val="en-US" w:eastAsia="zh-CN" w:bidi="ar-SA"/>
              </w:rPr>
            </w:pPr>
            <w:r>
              <w:rPr>
                <w:rFonts w:hint="eastAsia" w:cs="Times New Roman"/>
                <w:color w:val="auto"/>
                <w:sz w:val="21"/>
                <w:szCs w:val="21"/>
                <w:lang w:val="en-US" w:eastAsia="zh-CN"/>
              </w:rPr>
              <w:t>6318.9</w:t>
            </w:r>
            <w:r>
              <w:rPr>
                <w:rFonts w:hint="eastAsia" w:cs="Times New Roman"/>
                <w:snapToGrid w:val="0"/>
                <w:color w:val="auto"/>
                <w:kern w:val="21"/>
                <w:sz w:val="21"/>
                <w:szCs w:val="21"/>
                <w:highlight w:val="none"/>
                <w:lang w:val="en-US" w:eastAsia="zh-CN" w:bidi="ar-SA"/>
              </w:rPr>
              <w:t>m</w:t>
            </w:r>
            <w:r>
              <w:rPr>
                <w:rFonts w:hint="eastAsia" w:cs="Times New Roman"/>
                <w:snapToGrid w:val="0"/>
                <w:color w:val="auto"/>
                <w:kern w:val="21"/>
                <w:sz w:val="21"/>
                <w:szCs w:val="21"/>
                <w:highlight w:val="none"/>
                <w:vertAlign w:val="superscript"/>
                <w:lang w:val="en-US" w:eastAsia="zh-CN" w:bidi="ar-SA"/>
              </w:rPr>
              <w:t>3</w:t>
            </w:r>
            <w:r>
              <w:rPr>
                <w:rFonts w:hint="eastAsia" w:cs="Times New Roman"/>
                <w:snapToGrid w:val="0"/>
                <w:color w:val="auto"/>
                <w:kern w:val="21"/>
                <w:sz w:val="21"/>
                <w:szCs w:val="21"/>
                <w:highlight w:val="none"/>
                <w:lang w:val="en-US" w:eastAsia="zh-CN" w:bidi="ar-SA"/>
              </w:rPr>
              <w:t>/a</w:t>
            </w:r>
          </w:p>
        </w:tc>
        <w:tc>
          <w:tcPr>
            <w:tcW w:w="1286"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4" w:type="dxa"/>
            <w:noWrap w:val="0"/>
            <w:vAlign w:val="center"/>
          </w:tcPr>
          <w:p>
            <w:pPr>
              <w:widowControl w:val="0"/>
              <w:spacing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lang w:val="en-US" w:eastAsia="zh-CN"/>
              </w:rPr>
              <w:t>6318.9</w:t>
            </w:r>
            <w:r>
              <w:rPr>
                <w:rFonts w:hint="eastAsia" w:cs="Times New Roman"/>
                <w:snapToGrid w:val="0"/>
                <w:color w:val="auto"/>
                <w:kern w:val="21"/>
                <w:sz w:val="21"/>
                <w:szCs w:val="21"/>
                <w:highlight w:val="none"/>
                <w:lang w:val="en-US" w:eastAsia="zh-CN" w:bidi="ar-SA"/>
              </w:rPr>
              <w:t>m</w:t>
            </w:r>
            <w:r>
              <w:rPr>
                <w:rFonts w:hint="eastAsia" w:cs="Times New Roman"/>
                <w:snapToGrid w:val="0"/>
                <w:color w:val="auto"/>
                <w:kern w:val="21"/>
                <w:sz w:val="21"/>
                <w:szCs w:val="21"/>
                <w:highlight w:val="none"/>
                <w:vertAlign w:val="superscript"/>
                <w:lang w:val="en-US" w:eastAsia="zh-CN" w:bidi="ar-SA"/>
              </w:rPr>
              <w:t>3</w:t>
            </w:r>
            <w:r>
              <w:rPr>
                <w:rFonts w:hint="eastAsia" w:cs="Times New Roman"/>
                <w:snapToGrid w:val="0"/>
                <w:color w:val="auto"/>
                <w:kern w:val="21"/>
                <w:sz w:val="21"/>
                <w:szCs w:val="21"/>
                <w:highlight w:val="none"/>
                <w:lang w:val="en-US" w:eastAsia="zh-CN" w:bidi="ar-SA"/>
              </w:rPr>
              <w:t>/a</w:t>
            </w:r>
          </w:p>
        </w:tc>
        <w:tc>
          <w:tcPr>
            <w:tcW w:w="1556" w:type="dxa"/>
            <w:noWrap w:val="0"/>
            <w:vAlign w:val="center"/>
          </w:tcPr>
          <w:p>
            <w:pPr>
              <w:widowControl w:val="0"/>
              <w:spacing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47" w:type="dxa"/>
            <w:vMerge w:val="continue"/>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p>
        </w:tc>
        <w:tc>
          <w:tcPr>
            <w:tcW w:w="1558" w:type="dxa"/>
            <w:noWrap w:val="0"/>
            <w:vAlign w:val="center"/>
          </w:tcPr>
          <w:p>
            <w:pPr>
              <w:widowControl w:val="0"/>
              <w:adjustRightInd w:val="0"/>
              <w:snapToGrid w:val="0"/>
              <w:spacing w:beforeLines="0" w:afterLines="0" w:line="240" w:lineRule="auto"/>
              <w:ind w:firstLine="0"/>
              <w:jc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锅炉排污水及纯水制备浓水</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p>
        </w:tc>
        <w:tc>
          <w:tcPr>
            <w:tcW w:w="1276"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p>
        </w:tc>
        <w:tc>
          <w:tcPr>
            <w:tcW w:w="1559"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16814.7m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w:t>
            </w:r>
          </w:p>
        </w:tc>
        <w:tc>
          <w:tcPr>
            <w:tcW w:w="1286" w:type="dxa"/>
            <w:noWrap w:val="0"/>
            <w:vAlign w:val="center"/>
          </w:tcPr>
          <w:p>
            <w:pPr>
              <w:widowControl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704"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16814.7m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w:t>
            </w:r>
          </w:p>
        </w:tc>
        <w:tc>
          <w:tcPr>
            <w:tcW w:w="1556" w:type="dxa"/>
            <w:noWrap w:val="0"/>
            <w:vAlign w:val="center"/>
          </w:tcPr>
          <w:p>
            <w:pPr>
              <w:widowControl w:val="0"/>
              <w:spacing w:line="240" w:lineRule="auto"/>
              <w:ind w:firstLine="0" w:firstLineChars="0"/>
              <w:jc w:val="center"/>
              <w:rPr>
                <w:rFonts w:hint="default" w:cs="Times New Roman"/>
                <w:b/>
                <w:bCs/>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47" w:type="dxa"/>
            <w:vMerge w:val="restart"/>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s="Times New Roman"/>
                <w:snapToGrid w:val="0"/>
                <w:color w:val="auto"/>
                <w:kern w:val="21"/>
                <w:sz w:val="21"/>
                <w:szCs w:val="21"/>
                <w:highlight w:val="none"/>
                <w:lang w:val="en-US" w:eastAsia="zh-CN" w:bidi="ar-SA"/>
              </w:rPr>
              <w:t>一般工业</w:t>
            </w:r>
          </w:p>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s="Times New Roman"/>
                <w:snapToGrid w:val="0"/>
                <w:color w:val="auto"/>
                <w:kern w:val="21"/>
                <w:sz w:val="21"/>
                <w:szCs w:val="21"/>
                <w:highlight w:val="none"/>
                <w:lang w:val="en-US" w:eastAsia="zh-CN" w:bidi="ar-SA"/>
              </w:rPr>
              <w:t>固体废物</w:t>
            </w:r>
          </w:p>
        </w:tc>
        <w:tc>
          <w:tcPr>
            <w:tcW w:w="1558" w:type="dxa"/>
            <w:noWrap w:val="0"/>
            <w:vAlign w:val="center"/>
          </w:tcPr>
          <w:p>
            <w:pPr>
              <w:widowControl w:val="0"/>
              <w:adjustRightInd w:val="0"/>
              <w:snapToGrid w:val="0"/>
              <w:spacing w:beforeLines="0" w:afterLines="0" w:line="240" w:lineRule="auto"/>
              <w:ind w:firstLine="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生活垃圾</w:t>
            </w:r>
          </w:p>
        </w:tc>
        <w:tc>
          <w:tcPr>
            <w:tcW w:w="1701" w:type="dxa"/>
            <w:noWrap w:val="0"/>
            <w:vAlign w:val="center"/>
          </w:tcPr>
          <w:p>
            <w:pPr>
              <w:spacing w:beforeLines="0" w:afterLines="0"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pPr>
              <w:spacing w:beforeLines="0" w:afterLines="0" w:line="240" w:lineRule="auto"/>
              <w:ind w:firstLine="0" w:firstLineChars="0"/>
              <w:jc w:val="center"/>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pPr>
              <w:spacing w:beforeLines="0" w:afterLines="0" w:line="240" w:lineRule="auto"/>
              <w:ind w:firstLine="0" w:firstLineChars="0"/>
              <w:jc w:val="center"/>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pPr>
              <w:widowControl w:val="0"/>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13.4t/a</w:t>
            </w:r>
          </w:p>
        </w:tc>
        <w:tc>
          <w:tcPr>
            <w:tcW w:w="1286" w:type="dxa"/>
            <w:noWrap w:val="0"/>
            <w:vAlign w:val="center"/>
          </w:tcPr>
          <w:p>
            <w:pPr>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eastAsia="zh-CN"/>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4" w:type="dxa"/>
            <w:noWrap w:val="0"/>
            <w:vAlign w:val="center"/>
          </w:tcPr>
          <w:p>
            <w:pPr>
              <w:widowControl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cs="Times New Roman"/>
                <w:snapToGrid w:val="0"/>
                <w:color w:val="auto"/>
                <w:kern w:val="21"/>
                <w:sz w:val="21"/>
                <w:szCs w:val="21"/>
                <w:highlight w:val="none"/>
                <w:lang w:val="en-US" w:eastAsia="zh-CN" w:bidi="ar-SA"/>
              </w:rPr>
              <w:t>13.4t/a</w:t>
            </w:r>
          </w:p>
        </w:tc>
        <w:tc>
          <w:tcPr>
            <w:tcW w:w="1556" w:type="dxa"/>
            <w:noWrap w:val="0"/>
            <w:vAlign w:val="center"/>
          </w:tcPr>
          <w:p>
            <w:pPr>
              <w:widowControl w:val="0"/>
              <w:spacing w:line="240" w:lineRule="auto"/>
              <w:ind w:firstLine="0" w:firstLineChars="0"/>
              <w:jc w:val="center"/>
              <w:rPr>
                <w:rFonts w:hint="default" w:ascii="Times New Roman" w:hAnsi="Times New Roman" w:eastAsia="宋体" w:cs="Times New Roman"/>
                <w:b/>
                <w:bCs/>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47" w:type="dxa"/>
            <w:vMerge w:val="continue"/>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p>
        </w:tc>
        <w:tc>
          <w:tcPr>
            <w:tcW w:w="1558" w:type="dxa"/>
            <w:noWrap w:val="0"/>
            <w:vAlign w:val="center"/>
          </w:tcPr>
          <w:p>
            <w:pPr>
              <w:widowControl w:val="0"/>
              <w:adjustRightInd w:val="0"/>
              <w:snapToGrid w:val="0"/>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分拣杂质</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pPr>
              <w:widowControl w:val="0"/>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18.7t/a</w:t>
            </w:r>
          </w:p>
        </w:tc>
        <w:tc>
          <w:tcPr>
            <w:tcW w:w="1286" w:type="dxa"/>
            <w:noWrap w:val="0"/>
            <w:vAlign w:val="center"/>
          </w:tcPr>
          <w:p>
            <w:pPr>
              <w:widowControl w:val="0"/>
              <w:adjustRightInd w:val="0"/>
              <w:snapToGrid w:val="0"/>
              <w:spacing w:beforeLines="0" w:afterLines="0" w:line="240" w:lineRule="auto"/>
              <w:ind w:firstLine="0" w:firstLineChars="0"/>
              <w:jc w:val="center"/>
              <w:rPr>
                <w:rFonts w:hint="eastAsia" w:ascii="宋体"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4" w:type="dxa"/>
            <w:noWrap w:val="0"/>
            <w:vAlign w:val="center"/>
          </w:tcPr>
          <w:p>
            <w:pPr>
              <w:widowControl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cs="Times New Roman"/>
                <w:snapToGrid w:val="0"/>
                <w:color w:val="auto"/>
                <w:kern w:val="21"/>
                <w:sz w:val="21"/>
                <w:szCs w:val="21"/>
                <w:highlight w:val="none"/>
                <w:lang w:val="en-US" w:eastAsia="zh-CN" w:bidi="ar-SA"/>
              </w:rPr>
              <w:t>18.7t/a</w:t>
            </w:r>
          </w:p>
        </w:tc>
        <w:tc>
          <w:tcPr>
            <w:tcW w:w="1556" w:type="dxa"/>
            <w:noWrap w:val="0"/>
            <w:vAlign w:val="center"/>
          </w:tcPr>
          <w:p>
            <w:pPr>
              <w:widowControl w:val="0"/>
              <w:spacing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47" w:type="dxa"/>
            <w:vMerge w:val="continue"/>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p>
        </w:tc>
        <w:tc>
          <w:tcPr>
            <w:tcW w:w="1558" w:type="dxa"/>
            <w:noWrap w:val="0"/>
            <w:vAlign w:val="center"/>
          </w:tcPr>
          <w:p>
            <w:pPr>
              <w:widowControl w:val="0"/>
              <w:adjustRightInd w:val="0"/>
              <w:snapToGrid w:val="0"/>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过滤杂质</w:t>
            </w:r>
          </w:p>
        </w:tc>
        <w:tc>
          <w:tcPr>
            <w:tcW w:w="1701" w:type="dxa"/>
            <w:noWrap w:val="0"/>
            <w:vAlign w:val="center"/>
          </w:tcPr>
          <w:p>
            <w:pPr>
              <w:spacing w:beforeLines="0" w:afterLines="0"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pPr>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pPr>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pPr>
              <w:widowControl w:val="0"/>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0.36t/a</w:t>
            </w:r>
          </w:p>
        </w:tc>
        <w:tc>
          <w:tcPr>
            <w:tcW w:w="1286" w:type="dxa"/>
            <w:noWrap w:val="0"/>
            <w:vAlign w:val="center"/>
          </w:tcPr>
          <w:p>
            <w:pPr>
              <w:spacing w:beforeLines="0" w:afterLines="0" w:line="240" w:lineRule="auto"/>
              <w:ind w:firstLine="0" w:firstLineChars="0"/>
              <w:jc w:val="center"/>
              <w:rPr>
                <w:rFonts w:hint="eastAsia" w:ascii="宋体"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4" w:type="dxa"/>
            <w:noWrap w:val="0"/>
            <w:vAlign w:val="center"/>
          </w:tcPr>
          <w:p>
            <w:pPr>
              <w:widowControl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cs="Times New Roman"/>
                <w:snapToGrid w:val="0"/>
                <w:color w:val="auto"/>
                <w:kern w:val="21"/>
                <w:sz w:val="21"/>
                <w:szCs w:val="21"/>
                <w:highlight w:val="none"/>
                <w:lang w:val="en-US" w:eastAsia="zh-CN" w:bidi="ar-SA"/>
              </w:rPr>
              <w:t>0.36t/a</w:t>
            </w:r>
          </w:p>
        </w:tc>
        <w:tc>
          <w:tcPr>
            <w:tcW w:w="1556" w:type="dxa"/>
            <w:noWrap w:val="0"/>
            <w:vAlign w:val="center"/>
          </w:tcPr>
          <w:p>
            <w:pPr>
              <w:widowControl w:val="0"/>
              <w:spacing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47" w:type="dxa"/>
            <w:vMerge w:val="continue"/>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p>
        </w:tc>
        <w:tc>
          <w:tcPr>
            <w:tcW w:w="1558" w:type="dxa"/>
            <w:noWrap w:val="0"/>
            <w:vAlign w:val="center"/>
          </w:tcPr>
          <w:p>
            <w:pPr>
              <w:widowControl w:val="0"/>
              <w:adjustRightInd w:val="0"/>
              <w:snapToGrid w:val="0"/>
              <w:spacing w:beforeLines="0" w:afterLines="0" w:line="240" w:lineRule="auto"/>
              <w:ind w:firstLine="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污泥</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pPr>
              <w:widowControl w:val="0"/>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14.2t/a（60%含水率）</w:t>
            </w:r>
          </w:p>
        </w:tc>
        <w:tc>
          <w:tcPr>
            <w:tcW w:w="1286" w:type="dxa"/>
            <w:noWrap w:val="0"/>
            <w:vAlign w:val="center"/>
          </w:tcPr>
          <w:p>
            <w:pPr>
              <w:widowControl w:val="0"/>
              <w:adjustRightInd w:val="0"/>
              <w:snapToGrid w:val="0"/>
              <w:spacing w:beforeLines="0" w:afterLines="0" w:line="240" w:lineRule="auto"/>
              <w:ind w:firstLine="0" w:firstLineChars="0"/>
              <w:jc w:val="center"/>
              <w:rPr>
                <w:rFonts w:hint="eastAsia" w:ascii="宋体"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4" w:type="dxa"/>
            <w:noWrap w:val="0"/>
            <w:vAlign w:val="center"/>
          </w:tcPr>
          <w:p>
            <w:pPr>
              <w:widowControl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cs="Times New Roman"/>
                <w:snapToGrid w:val="0"/>
                <w:color w:val="auto"/>
                <w:kern w:val="21"/>
                <w:sz w:val="21"/>
                <w:szCs w:val="21"/>
                <w:highlight w:val="none"/>
                <w:lang w:val="en-US" w:eastAsia="zh-CN" w:bidi="ar-SA"/>
              </w:rPr>
              <w:t>14.2t/a（60%含水率）</w:t>
            </w:r>
          </w:p>
        </w:tc>
        <w:tc>
          <w:tcPr>
            <w:tcW w:w="1556" w:type="dxa"/>
            <w:noWrap w:val="0"/>
            <w:vAlign w:val="center"/>
          </w:tcPr>
          <w:p>
            <w:pPr>
              <w:widowControl w:val="0"/>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47" w:type="dxa"/>
            <w:vMerge w:val="continue"/>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p>
        </w:tc>
        <w:tc>
          <w:tcPr>
            <w:tcW w:w="1558" w:type="dxa"/>
            <w:noWrap w:val="0"/>
            <w:vAlign w:val="center"/>
          </w:tcPr>
          <w:p>
            <w:pPr>
              <w:widowControl w:val="0"/>
              <w:adjustRightInd w:val="0"/>
              <w:snapToGrid w:val="0"/>
              <w:spacing w:beforeLines="0" w:afterLines="0" w:line="240" w:lineRule="auto"/>
              <w:ind w:firstLine="0"/>
              <w:jc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不合格产品</w:t>
            </w:r>
          </w:p>
        </w:tc>
        <w:tc>
          <w:tcPr>
            <w:tcW w:w="1701" w:type="dxa"/>
            <w:noWrap w:val="0"/>
            <w:vAlign w:val="center"/>
          </w:tcPr>
          <w:p>
            <w:pPr>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pPr>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pPr>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pPr>
              <w:widowControl w:val="0"/>
              <w:spacing w:line="240" w:lineRule="auto"/>
              <w:ind w:firstLine="0" w:firstLineChars="0"/>
              <w:jc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1.3t/a</w:t>
            </w:r>
          </w:p>
        </w:tc>
        <w:tc>
          <w:tcPr>
            <w:tcW w:w="1286"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p>
        </w:tc>
        <w:tc>
          <w:tcPr>
            <w:tcW w:w="1704" w:type="dxa"/>
            <w:noWrap w:val="0"/>
            <w:vAlign w:val="center"/>
          </w:tcPr>
          <w:p>
            <w:pPr>
              <w:widowControl w:val="0"/>
              <w:spacing w:line="240" w:lineRule="auto"/>
              <w:ind w:firstLine="0" w:firstLineChars="0"/>
              <w:jc w:val="center"/>
              <w:rPr>
                <w:rFonts w:hint="eastAsia"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1.3t/a</w:t>
            </w:r>
          </w:p>
        </w:tc>
        <w:tc>
          <w:tcPr>
            <w:tcW w:w="1556" w:type="dxa"/>
            <w:noWrap w:val="0"/>
            <w:vAlign w:val="center"/>
          </w:tcPr>
          <w:p>
            <w:pPr>
              <w:widowControl w:val="0"/>
              <w:spacing w:line="240" w:lineRule="auto"/>
              <w:ind w:firstLine="0" w:firstLineChars="0"/>
              <w:jc w:val="center"/>
              <w:rPr>
                <w:rFonts w:hint="eastAsia" w:cs="Times New Roman"/>
                <w:b/>
                <w:bCs/>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47" w:type="dxa"/>
            <w:vMerge w:val="continue"/>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p>
        </w:tc>
        <w:tc>
          <w:tcPr>
            <w:tcW w:w="1558" w:type="dxa"/>
            <w:noWrap w:val="0"/>
            <w:vAlign w:val="center"/>
          </w:tcPr>
          <w:p>
            <w:pPr>
              <w:widowControl w:val="0"/>
              <w:adjustRightInd w:val="0"/>
              <w:snapToGrid w:val="0"/>
              <w:spacing w:beforeLines="0" w:afterLines="0" w:line="240" w:lineRule="auto"/>
              <w:ind w:firstLine="0"/>
              <w:jc w:val="both"/>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废包装材料</w:t>
            </w:r>
          </w:p>
        </w:tc>
        <w:tc>
          <w:tcPr>
            <w:tcW w:w="1701" w:type="dxa"/>
            <w:noWrap w:val="0"/>
            <w:vAlign w:val="center"/>
          </w:tcPr>
          <w:p>
            <w:pPr>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pPr>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pPr>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pPr>
              <w:widowControl w:val="0"/>
              <w:spacing w:line="240" w:lineRule="auto"/>
              <w:ind w:firstLine="0" w:firstLineChars="0"/>
              <w:jc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0.2t/a</w:t>
            </w:r>
          </w:p>
        </w:tc>
        <w:tc>
          <w:tcPr>
            <w:tcW w:w="1286" w:type="dxa"/>
            <w:noWrap w:val="0"/>
            <w:vAlign w:val="center"/>
          </w:tcPr>
          <w:p>
            <w:pPr>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4" w:type="dxa"/>
            <w:noWrap w:val="0"/>
            <w:vAlign w:val="center"/>
          </w:tcPr>
          <w:p>
            <w:pPr>
              <w:widowControl w:val="0"/>
              <w:spacing w:line="240" w:lineRule="auto"/>
              <w:ind w:firstLine="0" w:firstLineChars="0"/>
              <w:jc w:val="center"/>
              <w:rPr>
                <w:rFonts w:hint="eastAsia"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0.2t/a</w:t>
            </w:r>
          </w:p>
        </w:tc>
        <w:tc>
          <w:tcPr>
            <w:tcW w:w="1556" w:type="dxa"/>
            <w:noWrap w:val="0"/>
            <w:vAlign w:val="center"/>
          </w:tcPr>
          <w:p>
            <w:pPr>
              <w:widowControl w:val="0"/>
              <w:spacing w:line="240" w:lineRule="auto"/>
              <w:ind w:firstLine="0" w:firstLineChars="0"/>
              <w:jc w:val="center"/>
              <w:rPr>
                <w:rFonts w:hint="eastAsia" w:cs="Times New Roman"/>
                <w:b/>
                <w:bCs/>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47" w:type="dxa"/>
            <w:vMerge w:val="continue"/>
            <w:noWrap w:val="0"/>
            <w:vAlign w:val="center"/>
          </w:tcPr>
          <w:p>
            <w:pPr>
              <w:widowControl w:val="0"/>
              <w:adjustRightInd w:val="0"/>
              <w:snapToGrid w:val="0"/>
              <w:spacing w:beforeLines="0" w:afterLines="0" w:line="240" w:lineRule="auto"/>
              <w:ind w:firstLine="0"/>
              <w:jc w:val="center"/>
              <w:rPr>
                <w:rFonts w:ascii="Times New Roman" w:hAnsi="Times New Roman" w:eastAsia="宋体" w:cs="Times New Roman"/>
                <w:snapToGrid w:val="0"/>
                <w:color w:val="auto"/>
                <w:kern w:val="21"/>
                <w:sz w:val="21"/>
                <w:szCs w:val="21"/>
                <w:highlight w:val="none"/>
                <w:lang w:val="en-US" w:eastAsia="zh-CN" w:bidi="ar-SA"/>
              </w:rPr>
            </w:pPr>
          </w:p>
        </w:tc>
        <w:tc>
          <w:tcPr>
            <w:tcW w:w="1558" w:type="dxa"/>
            <w:noWrap w:val="0"/>
            <w:vAlign w:val="center"/>
          </w:tcPr>
          <w:p>
            <w:pPr>
              <w:widowControl w:val="0"/>
              <w:adjustRightInd w:val="0"/>
              <w:snapToGrid w:val="0"/>
              <w:spacing w:beforeLines="0" w:afterLines="0" w:line="240" w:lineRule="auto"/>
              <w:ind w:firstLine="0"/>
              <w:jc w:val="both"/>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纯水设备滤芯</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pPr>
              <w:widowControl w:val="0"/>
              <w:spacing w:line="240" w:lineRule="auto"/>
              <w:ind w:firstLine="0" w:firstLineChars="0"/>
              <w:jc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0.1t/a</w:t>
            </w:r>
          </w:p>
        </w:tc>
        <w:tc>
          <w:tcPr>
            <w:tcW w:w="1286" w:type="dxa"/>
            <w:noWrap w:val="0"/>
            <w:vAlign w:val="center"/>
          </w:tcPr>
          <w:p>
            <w:pPr>
              <w:widowControl w:val="0"/>
              <w:adjustRightInd w:val="0"/>
              <w:snapToGrid w:val="0"/>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04" w:type="dxa"/>
            <w:noWrap w:val="0"/>
            <w:vAlign w:val="center"/>
          </w:tcPr>
          <w:p>
            <w:pPr>
              <w:widowControl w:val="0"/>
              <w:spacing w:line="240" w:lineRule="auto"/>
              <w:ind w:firstLine="0" w:firstLineChars="0"/>
              <w:jc w:val="center"/>
              <w:rPr>
                <w:rFonts w:hint="eastAsia"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0.1t/a</w:t>
            </w:r>
          </w:p>
        </w:tc>
        <w:tc>
          <w:tcPr>
            <w:tcW w:w="1556" w:type="dxa"/>
            <w:noWrap w:val="0"/>
            <w:vAlign w:val="center"/>
          </w:tcPr>
          <w:p>
            <w:pPr>
              <w:widowControl w:val="0"/>
              <w:spacing w:line="240" w:lineRule="auto"/>
              <w:ind w:firstLine="0" w:firstLineChars="0"/>
              <w:jc w:val="center"/>
              <w:rPr>
                <w:rFonts w:hint="eastAsia" w:cs="Times New Roman"/>
                <w:b/>
                <w:bCs/>
                <w:snapToGrid w:val="0"/>
                <w:color w:val="auto"/>
                <w:kern w:val="21"/>
                <w:sz w:val="21"/>
                <w:szCs w:val="21"/>
                <w:highlight w:val="none"/>
                <w:lang w:val="en-US" w:eastAsia="zh-CN" w:bidi="ar-SA"/>
              </w:rPr>
            </w:pPr>
            <w:r>
              <w:rPr>
                <w:rFonts w:hint="eastAsia" w:cs="Times New Roman"/>
                <w:b/>
                <w:bCs/>
                <w:snapToGrid w:val="0"/>
                <w:color w:val="auto"/>
                <w:kern w:val="21"/>
                <w:sz w:val="21"/>
                <w:szCs w:val="21"/>
                <w:highlight w:val="none"/>
                <w:lang w:val="en-US" w:eastAsia="zh-CN" w:bidi="ar-SA"/>
              </w:rPr>
              <w:t>/</w:t>
            </w:r>
          </w:p>
        </w:tc>
      </w:tr>
    </w:tbl>
    <w:p>
      <w:pPr>
        <w:widowControl w:val="0"/>
        <w:adjustRightInd w:val="0"/>
        <w:snapToGrid w:val="0"/>
        <w:spacing w:before="192" w:beforeLines="80" w:after="24" w:afterLines="10" w:line="259" w:lineRule="auto"/>
        <w:ind w:firstLine="420"/>
        <w:jc w:val="left"/>
        <w:rPr>
          <w:color w:val="auto"/>
        </w:rPr>
      </w:pPr>
      <w:r>
        <w:rPr>
          <w:rFonts w:ascii="宋体" w:hAnsi="宋体" w:eastAsia="宋体" w:cs="Times New Roman"/>
          <w:snapToGrid w:val="0"/>
          <w:color w:val="auto"/>
          <w:kern w:val="21"/>
          <w:sz w:val="20"/>
          <w:szCs w:val="21"/>
          <w:lang w:val="en-US" w:eastAsia="zh-CN" w:bidi="ar-SA"/>
        </w:rPr>
        <w:t>注：</w:t>
      </w:r>
      <w:r>
        <w:rPr>
          <w:rFonts w:ascii="宋体" w:hAnsi="宋体" w:eastAsia="宋体" w:cs="Times New Roman"/>
          <w:snapToGrid w:val="0"/>
          <w:color w:val="auto"/>
          <w:spacing w:val="-16"/>
          <w:kern w:val="21"/>
          <w:sz w:val="20"/>
          <w:szCs w:val="21"/>
          <w:lang w:val="en-US" w:eastAsia="zh-CN" w:bidi="ar-SA"/>
        </w:rPr>
        <w:fldChar w:fldCharType="begin"/>
      </w:r>
      <w:r>
        <w:rPr>
          <w:rFonts w:ascii="宋体" w:hAnsi="宋体" w:eastAsia="宋体" w:cs="Times New Roman"/>
          <w:snapToGrid w:val="0"/>
          <w:color w:val="auto"/>
          <w:spacing w:val="-16"/>
          <w:kern w:val="21"/>
          <w:sz w:val="20"/>
          <w:szCs w:val="21"/>
          <w:lang w:val="en-US" w:eastAsia="zh-CN" w:bidi="ar-SA"/>
        </w:rPr>
        <w:instrText xml:space="preserve"> = 6 \* GB3 \* MERGEFORMAT </w:instrText>
      </w:r>
      <w:r>
        <w:rPr>
          <w:rFonts w:ascii="宋体" w:hAnsi="宋体" w:eastAsia="宋体" w:cs="Times New Roman"/>
          <w:snapToGrid w:val="0"/>
          <w:color w:val="auto"/>
          <w:spacing w:val="-16"/>
          <w:kern w:val="21"/>
          <w:sz w:val="20"/>
          <w:szCs w:val="21"/>
          <w:lang w:val="en-US" w:eastAsia="zh-CN" w:bidi="ar-SA"/>
        </w:rPr>
        <w:fldChar w:fldCharType="separate"/>
      </w:r>
      <w:r>
        <w:rPr>
          <w:rFonts w:hint="eastAsia" w:ascii="宋体" w:hAnsi="宋体" w:eastAsia="宋体" w:cs="Times New Roman"/>
          <w:color w:val="auto"/>
          <w:kern w:val="0"/>
          <w:sz w:val="20"/>
          <w:szCs w:val="21"/>
          <w:lang w:val="en-US" w:eastAsia="zh-CN" w:bidi="ar-SA"/>
        </w:rPr>
        <w:t>⑥</w:t>
      </w:r>
      <w:r>
        <w:rPr>
          <w:rFonts w:ascii="宋体" w:hAnsi="宋体" w:eastAsia="宋体" w:cs="Times New Roman"/>
          <w:snapToGrid w:val="0"/>
          <w:color w:val="auto"/>
          <w:spacing w:val="-16"/>
          <w:kern w:val="21"/>
          <w:sz w:val="20"/>
          <w:szCs w:val="21"/>
          <w:lang w:val="en-US" w:eastAsia="zh-CN" w:bidi="ar-SA"/>
        </w:rPr>
        <w:fldChar w:fldCharType="end"/>
      </w:r>
      <w:r>
        <w:rPr>
          <w:rFonts w:ascii="宋体" w:hAnsi="宋体" w:eastAsia="宋体" w:cs="Times New Roman"/>
          <w:snapToGrid w:val="0"/>
          <w:color w:val="auto"/>
          <w:spacing w:val="-16"/>
          <w:kern w:val="21"/>
          <w:sz w:val="20"/>
          <w:szCs w:val="21"/>
          <w:lang w:val="en-US" w:eastAsia="zh-CN" w:bidi="ar-SA"/>
        </w:rPr>
        <w:t>=</w:t>
      </w:r>
      <w:r>
        <w:rPr>
          <w:rFonts w:ascii="宋体" w:hAnsi="宋体" w:eastAsia="宋体" w:cs="Times New Roman"/>
          <w:snapToGrid w:val="0"/>
          <w:color w:val="auto"/>
          <w:spacing w:val="-6"/>
          <w:kern w:val="21"/>
          <w:sz w:val="20"/>
          <w:szCs w:val="21"/>
          <w:lang w:val="en-US" w:eastAsia="zh-CN" w:bidi="ar-SA"/>
        </w:rPr>
        <w:fldChar w:fldCharType="begin"/>
      </w:r>
      <w:r>
        <w:rPr>
          <w:rFonts w:ascii="宋体" w:hAnsi="宋体" w:eastAsia="宋体" w:cs="Times New Roman"/>
          <w:snapToGrid w:val="0"/>
          <w:color w:val="auto"/>
          <w:spacing w:val="-6"/>
          <w:kern w:val="21"/>
          <w:sz w:val="20"/>
          <w:szCs w:val="21"/>
          <w:lang w:val="en-US" w:eastAsia="zh-CN" w:bidi="ar-SA"/>
        </w:rPr>
        <w:instrText xml:space="preserve"> = 1 \* GB3 \* MERGEFORMAT </w:instrText>
      </w:r>
      <w:r>
        <w:rPr>
          <w:rFonts w:ascii="宋体" w:hAnsi="宋体" w:eastAsia="宋体" w:cs="Times New Roman"/>
          <w:snapToGrid w:val="0"/>
          <w:color w:val="auto"/>
          <w:spacing w:val="-6"/>
          <w:kern w:val="21"/>
          <w:sz w:val="20"/>
          <w:szCs w:val="21"/>
          <w:lang w:val="en-US" w:eastAsia="zh-CN" w:bidi="ar-SA"/>
        </w:rPr>
        <w:fldChar w:fldCharType="separate"/>
      </w:r>
      <w:r>
        <w:rPr>
          <w:rFonts w:hint="eastAsia" w:ascii="宋体" w:hAnsi="宋体" w:eastAsia="宋体" w:cs="Times New Roman"/>
          <w:color w:val="auto"/>
          <w:kern w:val="0"/>
          <w:sz w:val="20"/>
          <w:szCs w:val="21"/>
          <w:lang w:val="en-US" w:eastAsia="zh-CN" w:bidi="ar-SA"/>
        </w:rPr>
        <w:t>①</w:t>
      </w:r>
      <w:r>
        <w:rPr>
          <w:rFonts w:ascii="宋体" w:hAnsi="宋体" w:eastAsia="宋体" w:cs="Times New Roman"/>
          <w:snapToGrid w:val="0"/>
          <w:color w:val="auto"/>
          <w:spacing w:val="-6"/>
          <w:kern w:val="21"/>
          <w:sz w:val="20"/>
          <w:szCs w:val="21"/>
          <w:lang w:val="en-US" w:eastAsia="zh-CN" w:bidi="ar-SA"/>
        </w:rPr>
        <w:fldChar w:fldCharType="end"/>
      </w:r>
      <w:r>
        <w:rPr>
          <w:rFonts w:ascii="宋体" w:hAnsi="宋体" w:eastAsia="宋体" w:cs="Times New Roman"/>
          <w:snapToGrid w:val="0"/>
          <w:color w:val="auto"/>
          <w:spacing w:val="-6"/>
          <w:kern w:val="21"/>
          <w:sz w:val="20"/>
          <w:szCs w:val="21"/>
          <w:lang w:val="en-US" w:eastAsia="zh-CN" w:bidi="ar-SA"/>
        </w:rPr>
        <w:t>+</w:t>
      </w:r>
      <w:r>
        <w:rPr>
          <w:rFonts w:ascii="宋体" w:hAnsi="宋体" w:eastAsia="宋体" w:cs="Times New Roman"/>
          <w:snapToGrid w:val="0"/>
          <w:color w:val="auto"/>
          <w:spacing w:val="-6"/>
          <w:kern w:val="21"/>
          <w:sz w:val="20"/>
          <w:szCs w:val="21"/>
          <w:lang w:val="en-US" w:eastAsia="zh-CN" w:bidi="ar-SA"/>
        </w:rPr>
        <w:fldChar w:fldCharType="begin"/>
      </w:r>
      <w:r>
        <w:rPr>
          <w:rFonts w:ascii="宋体" w:hAnsi="宋体" w:eastAsia="宋体" w:cs="Times New Roman"/>
          <w:snapToGrid w:val="0"/>
          <w:color w:val="auto"/>
          <w:spacing w:val="-6"/>
          <w:kern w:val="21"/>
          <w:sz w:val="20"/>
          <w:szCs w:val="21"/>
          <w:lang w:val="en-US" w:eastAsia="zh-CN" w:bidi="ar-SA"/>
        </w:rPr>
        <w:instrText xml:space="preserve"> = 3 \* GB3 \* MERGEFORMAT </w:instrText>
      </w:r>
      <w:r>
        <w:rPr>
          <w:rFonts w:ascii="宋体" w:hAnsi="宋体" w:eastAsia="宋体" w:cs="Times New Roman"/>
          <w:snapToGrid w:val="0"/>
          <w:color w:val="auto"/>
          <w:spacing w:val="-6"/>
          <w:kern w:val="21"/>
          <w:sz w:val="20"/>
          <w:szCs w:val="21"/>
          <w:lang w:val="en-US" w:eastAsia="zh-CN" w:bidi="ar-SA"/>
        </w:rPr>
        <w:fldChar w:fldCharType="separate"/>
      </w:r>
      <w:r>
        <w:rPr>
          <w:rFonts w:hint="eastAsia" w:ascii="宋体" w:hAnsi="宋体" w:eastAsia="宋体" w:cs="Times New Roman"/>
          <w:color w:val="auto"/>
          <w:kern w:val="0"/>
          <w:sz w:val="20"/>
          <w:szCs w:val="21"/>
          <w:lang w:val="en-US" w:eastAsia="zh-CN" w:bidi="ar-SA"/>
        </w:rPr>
        <w:t>③</w:t>
      </w:r>
      <w:r>
        <w:rPr>
          <w:rFonts w:ascii="宋体" w:hAnsi="宋体" w:eastAsia="宋体" w:cs="Times New Roman"/>
          <w:snapToGrid w:val="0"/>
          <w:color w:val="auto"/>
          <w:spacing w:val="-6"/>
          <w:kern w:val="21"/>
          <w:sz w:val="20"/>
          <w:szCs w:val="21"/>
          <w:lang w:val="en-US" w:eastAsia="zh-CN" w:bidi="ar-SA"/>
        </w:rPr>
        <w:fldChar w:fldCharType="end"/>
      </w:r>
      <w:r>
        <w:rPr>
          <w:rFonts w:ascii="宋体" w:hAnsi="宋体" w:eastAsia="宋体" w:cs="Times New Roman"/>
          <w:snapToGrid w:val="0"/>
          <w:color w:val="auto"/>
          <w:spacing w:val="-6"/>
          <w:kern w:val="21"/>
          <w:sz w:val="20"/>
          <w:szCs w:val="21"/>
          <w:lang w:val="en-US" w:eastAsia="zh-CN" w:bidi="ar-SA"/>
        </w:rPr>
        <w:t>+</w:t>
      </w:r>
      <w:r>
        <w:rPr>
          <w:rFonts w:ascii="宋体" w:hAnsi="宋体" w:eastAsia="宋体" w:cs="Times New Roman"/>
          <w:snapToGrid w:val="0"/>
          <w:color w:val="auto"/>
          <w:spacing w:val="-6"/>
          <w:kern w:val="21"/>
          <w:sz w:val="20"/>
          <w:szCs w:val="21"/>
          <w:lang w:val="en-US" w:eastAsia="zh-CN" w:bidi="ar-SA"/>
        </w:rPr>
        <w:fldChar w:fldCharType="begin"/>
      </w:r>
      <w:r>
        <w:rPr>
          <w:rFonts w:ascii="宋体" w:hAnsi="宋体" w:eastAsia="宋体" w:cs="Times New Roman"/>
          <w:snapToGrid w:val="0"/>
          <w:color w:val="auto"/>
          <w:spacing w:val="-6"/>
          <w:kern w:val="21"/>
          <w:sz w:val="20"/>
          <w:szCs w:val="21"/>
          <w:lang w:val="en-US" w:eastAsia="zh-CN" w:bidi="ar-SA"/>
        </w:rPr>
        <w:instrText xml:space="preserve"> = 4 \* GB3 \* MERGEFORMAT </w:instrText>
      </w:r>
      <w:r>
        <w:rPr>
          <w:rFonts w:ascii="宋体" w:hAnsi="宋体" w:eastAsia="宋体" w:cs="Times New Roman"/>
          <w:snapToGrid w:val="0"/>
          <w:color w:val="auto"/>
          <w:spacing w:val="-6"/>
          <w:kern w:val="21"/>
          <w:sz w:val="20"/>
          <w:szCs w:val="21"/>
          <w:lang w:val="en-US" w:eastAsia="zh-CN" w:bidi="ar-SA"/>
        </w:rPr>
        <w:fldChar w:fldCharType="separate"/>
      </w:r>
      <w:r>
        <w:rPr>
          <w:rFonts w:hint="eastAsia" w:ascii="宋体" w:hAnsi="宋体" w:eastAsia="宋体" w:cs="Times New Roman"/>
          <w:color w:val="auto"/>
          <w:kern w:val="0"/>
          <w:sz w:val="20"/>
          <w:szCs w:val="21"/>
          <w:lang w:val="en-US" w:eastAsia="zh-CN" w:bidi="ar-SA"/>
        </w:rPr>
        <w:t>④</w:t>
      </w:r>
      <w:r>
        <w:rPr>
          <w:rFonts w:ascii="宋体" w:hAnsi="宋体" w:eastAsia="宋体" w:cs="Times New Roman"/>
          <w:snapToGrid w:val="0"/>
          <w:color w:val="auto"/>
          <w:spacing w:val="-6"/>
          <w:kern w:val="21"/>
          <w:sz w:val="20"/>
          <w:szCs w:val="21"/>
          <w:lang w:val="en-US" w:eastAsia="zh-CN" w:bidi="ar-SA"/>
        </w:rPr>
        <w:fldChar w:fldCharType="end"/>
      </w:r>
      <w:r>
        <w:rPr>
          <w:rFonts w:ascii="宋体" w:hAnsi="宋体" w:eastAsia="宋体" w:cs="Times New Roman"/>
          <w:snapToGrid w:val="0"/>
          <w:color w:val="auto"/>
          <w:spacing w:val="-6"/>
          <w:kern w:val="21"/>
          <w:sz w:val="20"/>
          <w:szCs w:val="21"/>
          <w:lang w:val="en-US" w:eastAsia="zh-CN" w:bidi="ar-SA"/>
        </w:rPr>
        <w:t>-</w:t>
      </w:r>
      <w:r>
        <w:rPr>
          <w:rFonts w:ascii="宋体" w:hAnsi="宋体" w:eastAsia="宋体" w:cs="Times New Roman"/>
          <w:snapToGrid w:val="0"/>
          <w:color w:val="auto"/>
          <w:spacing w:val="-16"/>
          <w:kern w:val="21"/>
          <w:sz w:val="20"/>
          <w:szCs w:val="21"/>
          <w:lang w:val="en-US" w:eastAsia="zh-CN" w:bidi="ar-SA"/>
        </w:rPr>
        <w:fldChar w:fldCharType="begin"/>
      </w:r>
      <w:r>
        <w:rPr>
          <w:rFonts w:ascii="宋体" w:hAnsi="宋体" w:eastAsia="宋体" w:cs="Times New Roman"/>
          <w:snapToGrid w:val="0"/>
          <w:color w:val="auto"/>
          <w:spacing w:val="-16"/>
          <w:kern w:val="21"/>
          <w:sz w:val="20"/>
          <w:szCs w:val="21"/>
          <w:lang w:val="en-US" w:eastAsia="zh-CN" w:bidi="ar-SA"/>
        </w:rPr>
        <w:instrText xml:space="preserve"> = 5 \* GB3 \* MERGEFORMAT </w:instrText>
      </w:r>
      <w:r>
        <w:rPr>
          <w:rFonts w:ascii="宋体" w:hAnsi="宋体" w:eastAsia="宋体" w:cs="Times New Roman"/>
          <w:snapToGrid w:val="0"/>
          <w:color w:val="auto"/>
          <w:spacing w:val="-16"/>
          <w:kern w:val="21"/>
          <w:sz w:val="20"/>
          <w:szCs w:val="21"/>
          <w:lang w:val="en-US" w:eastAsia="zh-CN" w:bidi="ar-SA"/>
        </w:rPr>
        <w:fldChar w:fldCharType="separate"/>
      </w:r>
      <w:r>
        <w:rPr>
          <w:rFonts w:hint="eastAsia" w:ascii="宋体" w:hAnsi="宋体" w:eastAsia="宋体" w:cs="Times New Roman"/>
          <w:color w:val="auto"/>
          <w:kern w:val="0"/>
          <w:sz w:val="20"/>
          <w:szCs w:val="21"/>
          <w:lang w:val="en-US" w:eastAsia="zh-CN" w:bidi="ar-SA"/>
        </w:rPr>
        <w:t>⑤</w:t>
      </w:r>
      <w:r>
        <w:rPr>
          <w:rFonts w:ascii="宋体" w:hAnsi="宋体" w:eastAsia="宋体" w:cs="Times New Roman"/>
          <w:snapToGrid w:val="0"/>
          <w:color w:val="auto"/>
          <w:spacing w:val="-16"/>
          <w:kern w:val="21"/>
          <w:sz w:val="20"/>
          <w:szCs w:val="21"/>
          <w:lang w:val="en-US" w:eastAsia="zh-CN" w:bidi="ar-SA"/>
        </w:rPr>
        <w:fldChar w:fldCharType="end"/>
      </w:r>
      <w:r>
        <w:rPr>
          <w:rFonts w:ascii="宋体" w:hAnsi="宋体" w:eastAsia="宋体" w:cs="Times New Roman"/>
          <w:snapToGrid w:val="0"/>
          <w:color w:val="auto"/>
          <w:spacing w:val="-16"/>
          <w:kern w:val="21"/>
          <w:sz w:val="20"/>
          <w:szCs w:val="21"/>
          <w:lang w:val="en-US" w:eastAsia="zh-CN" w:bidi="ar-SA"/>
        </w:rPr>
        <w:t>；</w:t>
      </w:r>
      <w:r>
        <w:rPr>
          <w:rFonts w:ascii="宋体" w:hAnsi="宋体" w:eastAsia="宋体" w:cs="Times New Roman"/>
          <w:snapToGrid w:val="0"/>
          <w:color w:val="auto"/>
          <w:spacing w:val="-6"/>
          <w:kern w:val="21"/>
          <w:sz w:val="20"/>
          <w:szCs w:val="21"/>
          <w:lang w:val="en-US" w:eastAsia="zh-CN" w:bidi="ar-SA"/>
        </w:rPr>
        <w:fldChar w:fldCharType="begin"/>
      </w:r>
      <w:r>
        <w:rPr>
          <w:rFonts w:ascii="宋体" w:hAnsi="宋体" w:eastAsia="宋体" w:cs="Times New Roman"/>
          <w:snapToGrid w:val="0"/>
          <w:color w:val="auto"/>
          <w:spacing w:val="-6"/>
          <w:kern w:val="21"/>
          <w:sz w:val="20"/>
          <w:szCs w:val="21"/>
          <w:lang w:val="en-US" w:eastAsia="zh-CN" w:bidi="ar-SA"/>
        </w:rPr>
        <w:instrText xml:space="preserve"> = 7 \* GB3 \* MERGEFORMAT </w:instrText>
      </w:r>
      <w:r>
        <w:rPr>
          <w:rFonts w:ascii="宋体" w:hAnsi="宋体" w:eastAsia="宋体" w:cs="Times New Roman"/>
          <w:snapToGrid w:val="0"/>
          <w:color w:val="auto"/>
          <w:spacing w:val="-6"/>
          <w:kern w:val="21"/>
          <w:sz w:val="20"/>
          <w:szCs w:val="21"/>
          <w:lang w:val="en-US" w:eastAsia="zh-CN" w:bidi="ar-SA"/>
        </w:rPr>
        <w:fldChar w:fldCharType="separate"/>
      </w:r>
      <w:r>
        <w:rPr>
          <w:rFonts w:hint="eastAsia" w:ascii="宋体" w:hAnsi="宋体" w:eastAsia="宋体" w:cs="Times New Roman"/>
          <w:color w:val="auto"/>
          <w:kern w:val="0"/>
          <w:sz w:val="20"/>
          <w:szCs w:val="21"/>
          <w:lang w:val="en-US" w:eastAsia="zh-CN" w:bidi="ar-SA"/>
        </w:rPr>
        <w:t>⑦</w:t>
      </w:r>
      <w:r>
        <w:rPr>
          <w:rFonts w:ascii="宋体" w:hAnsi="宋体" w:eastAsia="宋体" w:cs="Times New Roman"/>
          <w:snapToGrid w:val="0"/>
          <w:color w:val="auto"/>
          <w:spacing w:val="-6"/>
          <w:kern w:val="21"/>
          <w:sz w:val="20"/>
          <w:szCs w:val="21"/>
          <w:lang w:val="en-US" w:eastAsia="zh-CN" w:bidi="ar-SA"/>
        </w:rPr>
        <w:fldChar w:fldCharType="end"/>
      </w:r>
      <w:r>
        <w:rPr>
          <w:rFonts w:ascii="宋体" w:hAnsi="宋体" w:eastAsia="宋体" w:cs="Times New Roman"/>
          <w:snapToGrid w:val="0"/>
          <w:color w:val="auto"/>
          <w:spacing w:val="-6"/>
          <w:kern w:val="21"/>
          <w:sz w:val="20"/>
          <w:szCs w:val="21"/>
          <w:lang w:val="en-US" w:eastAsia="zh-CN" w:bidi="ar-SA"/>
        </w:rPr>
        <w:t>=</w:t>
      </w:r>
      <w:r>
        <w:rPr>
          <w:rFonts w:ascii="宋体" w:hAnsi="宋体" w:eastAsia="宋体" w:cs="Times New Roman"/>
          <w:snapToGrid w:val="0"/>
          <w:color w:val="auto"/>
          <w:spacing w:val="-16"/>
          <w:kern w:val="21"/>
          <w:sz w:val="20"/>
          <w:szCs w:val="21"/>
          <w:lang w:val="en-US" w:eastAsia="zh-CN" w:bidi="ar-SA"/>
        </w:rPr>
        <w:fldChar w:fldCharType="begin"/>
      </w:r>
      <w:r>
        <w:rPr>
          <w:rFonts w:ascii="宋体" w:hAnsi="宋体" w:eastAsia="宋体" w:cs="Times New Roman"/>
          <w:snapToGrid w:val="0"/>
          <w:color w:val="auto"/>
          <w:spacing w:val="-16"/>
          <w:kern w:val="21"/>
          <w:sz w:val="20"/>
          <w:szCs w:val="21"/>
          <w:lang w:val="en-US" w:eastAsia="zh-CN" w:bidi="ar-SA"/>
        </w:rPr>
        <w:instrText xml:space="preserve"> = 6 \* GB3 \* MERGEFORMAT </w:instrText>
      </w:r>
      <w:r>
        <w:rPr>
          <w:rFonts w:ascii="宋体" w:hAnsi="宋体" w:eastAsia="宋体" w:cs="Times New Roman"/>
          <w:snapToGrid w:val="0"/>
          <w:color w:val="auto"/>
          <w:spacing w:val="-16"/>
          <w:kern w:val="21"/>
          <w:sz w:val="20"/>
          <w:szCs w:val="21"/>
          <w:lang w:val="en-US" w:eastAsia="zh-CN" w:bidi="ar-SA"/>
        </w:rPr>
        <w:fldChar w:fldCharType="separate"/>
      </w:r>
      <w:r>
        <w:rPr>
          <w:rFonts w:hint="eastAsia" w:ascii="宋体" w:hAnsi="宋体" w:eastAsia="宋体" w:cs="Times New Roman"/>
          <w:color w:val="auto"/>
          <w:kern w:val="0"/>
          <w:sz w:val="20"/>
          <w:szCs w:val="21"/>
          <w:lang w:val="en-US" w:eastAsia="zh-CN" w:bidi="ar-SA"/>
        </w:rPr>
        <w:t>⑥</w:t>
      </w:r>
      <w:r>
        <w:rPr>
          <w:rFonts w:ascii="宋体" w:hAnsi="宋体" w:eastAsia="宋体" w:cs="Times New Roman"/>
          <w:snapToGrid w:val="0"/>
          <w:color w:val="auto"/>
          <w:spacing w:val="-16"/>
          <w:kern w:val="21"/>
          <w:sz w:val="20"/>
          <w:szCs w:val="21"/>
          <w:lang w:val="en-US" w:eastAsia="zh-CN" w:bidi="ar-SA"/>
        </w:rPr>
        <w:fldChar w:fldCharType="end"/>
      </w:r>
      <w:r>
        <w:rPr>
          <w:rFonts w:ascii="宋体" w:hAnsi="宋体" w:eastAsia="宋体" w:cs="Times New Roman"/>
          <w:snapToGrid w:val="0"/>
          <w:color w:val="auto"/>
          <w:spacing w:val="-16"/>
          <w:kern w:val="21"/>
          <w:sz w:val="20"/>
          <w:szCs w:val="21"/>
          <w:lang w:val="en-US" w:eastAsia="zh-CN" w:bidi="ar-SA"/>
        </w:rPr>
        <w:t>-</w:t>
      </w:r>
      <w:r>
        <w:rPr>
          <w:rFonts w:ascii="宋体" w:hAnsi="宋体" w:eastAsia="宋体" w:cs="Times New Roman"/>
          <w:snapToGrid w:val="0"/>
          <w:color w:val="auto"/>
          <w:spacing w:val="-6"/>
          <w:kern w:val="21"/>
          <w:sz w:val="20"/>
          <w:szCs w:val="21"/>
          <w:lang w:val="en-US" w:eastAsia="zh-CN" w:bidi="ar-SA"/>
        </w:rPr>
        <w:fldChar w:fldCharType="begin"/>
      </w:r>
      <w:r>
        <w:rPr>
          <w:rFonts w:ascii="宋体" w:hAnsi="宋体" w:eastAsia="宋体" w:cs="Times New Roman"/>
          <w:snapToGrid w:val="0"/>
          <w:color w:val="auto"/>
          <w:spacing w:val="-6"/>
          <w:kern w:val="21"/>
          <w:sz w:val="20"/>
          <w:szCs w:val="21"/>
          <w:lang w:val="en-US" w:eastAsia="zh-CN" w:bidi="ar-SA"/>
        </w:rPr>
        <w:instrText xml:space="preserve"> = 1 \* GB3 \* MERGEFORMAT </w:instrText>
      </w:r>
      <w:r>
        <w:rPr>
          <w:rFonts w:ascii="宋体" w:hAnsi="宋体" w:eastAsia="宋体" w:cs="Times New Roman"/>
          <w:snapToGrid w:val="0"/>
          <w:color w:val="auto"/>
          <w:spacing w:val="-6"/>
          <w:kern w:val="21"/>
          <w:sz w:val="20"/>
          <w:szCs w:val="21"/>
          <w:lang w:val="en-US" w:eastAsia="zh-CN" w:bidi="ar-SA"/>
        </w:rPr>
        <w:fldChar w:fldCharType="separate"/>
      </w:r>
      <w:r>
        <w:rPr>
          <w:rFonts w:hint="eastAsia" w:ascii="宋体" w:hAnsi="宋体" w:eastAsia="宋体" w:cs="Times New Roman"/>
          <w:color w:val="auto"/>
          <w:kern w:val="0"/>
          <w:sz w:val="20"/>
          <w:szCs w:val="21"/>
          <w:lang w:val="en-US" w:eastAsia="zh-CN" w:bidi="ar-SA"/>
        </w:rPr>
        <w:t>①</w:t>
      </w:r>
      <w:r>
        <w:rPr>
          <w:rFonts w:ascii="宋体" w:hAnsi="宋体" w:eastAsia="宋体" w:cs="Times New Roman"/>
          <w:snapToGrid w:val="0"/>
          <w:color w:val="auto"/>
          <w:spacing w:val="-6"/>
          <w:kern w:val="21"/>
          <w:sz w:val="20"/>
          <w:szCs w:val="21"/>
          <w:lang w:val="en-US" w:eastAsia="zh-CN" w:bidi="ar-SA"/>
        </w:rPr>
        <w:fldChar w:fldCharType="end"/>
      </w:r>
    </w:p>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65A">
      <wne:acd wne:acdName="acd0"/>
    </wne:keymap>
  </wne:keymaps>
  <wne:acds>
    <wne:acd wne:argValue="AQAAAAA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Arial Unicode MS"/>
    <w:panose1 w:val="02000000000000000000"/>
    <w:charset w:val="86"/>
    <w:family w:val="script"/>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360" w:lineRule="auto"/>
      <w:ind w:right="360" w:firstLine="360"/>
      <w:jc w:val="center"/>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0"/>
        <w:sz w:val="18"/>
        <w:szCs w:val="20"/>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spacing w:line="360" w:lineRule="auto"/>
                            <w:jc w:val="left"/>
                            <w:rPr>
                              <w:rStyle w:val="28"/>
                              <w:rFonts w:ascii="宋体" w:hAnsi="宋体" w:eastAsia="宋体" w:cs="Times New Roman"/>
                              <w:kern w:val="0"/>
                              <w:sz w:val="28"/>
                              <w:szCs w:val="28"/>
                              <w:lang w:val="en-US" w:eastAsia="zh-CN" w:bidi="ar-SA"/>
                            </w:rPr>
                          </w:pPr>
                          <w:r>
                            <w:rPr>
                              <w:rStyle w:val="28"/>
                              <w:rFonts w:hint="eastAsia" w:ascii="宋体" w:hAnsi="宋体" w:eastAsia="宋体" w:cs="Times New Roman"/>
                              <w:kern w:val="0"/>
                              <w:sz w:val="28"/>
                              <w:szCs w:val="28"/>
                              <w:lang w:val="en-US" w:eastAsia="zh-CN" w:bidi="ar-SA"/>
                            </w:rPr>
                            <w:t>—</w:t>
                          </w:r>
                          <w:r>
                            <w:rPr>
                              <w:rStyle w:val="28"/>
                              <w:rFonts w:hint="eastAsia" w:ascii="宋体" w:hAnsi="宋体" w:eastAsia="宋体" w:cs="Times New Roman"/>
                              <w:kern w:val="0"/>
                              <w:sz w:val="20"/>
                              <w:szCs w:val="20"/>
                              <w:lang w:val="en-US" w:eastAsia="zh-CN" w:bidi="ar-SA"/>
                            </w:rPr>
                            <w:t xml:space="preserve">  </w:t>
                          </w:r>
                          <w:r>
                            <w:rPr>
                              <w:rFonts w:ascii="宋体" w:hAnsi="宋体" w:eastAsia="宋体" w:cs="Times New Roman"/>
                              <w:kern w:val="0"/>
                              <w:sz w:val="26"/>
                              <w:szCs w:val="26"/>
                              <w:lang w:val="en-US" w:eastAsia="zh-CN" w:bidi="ar-SA"/>
                            </w:rPr>
                            <w:fldChar w:fldCharType="begin"/>
                          </w:r>
                          <w:r>
                            <w:rPr>
                              <w:rStyle w:val="28"/>
                              <w:rFonts w:ascii="宋体" w:hAnsi="宋体" w:eastAsia="宋体" w:cs="Times New Roman"/>
                              <w:kern w:val="0"/>
                              <w:sz w:val="26"/>
                              <w:szCs w:val="26"/>
                              <w:lang w:val="en-US" w:eastAsia="zh-CN" w:bidi="ar-SA"/>
                            </w:rPr>
                            <w:instrText xml:space="preserve">PAGE  </w:instrText>
                          </w:r>
                          <w:r>
                            <w:rPr>
                              <w:rFonts w:ascii="宋体" w:hAnsi="宋体" w:eastAsia="宋体" w:cs="Times New Roman"/>
                              <w:kern w:val="0"/>
                              <w:sz w:val="26"/>
                              <w:szCs w:val="26"/>
                              <w:lang w:val="en-US" w:eastAsia="zh-CN" w:bidi="ar-SA"/>
                            </w:rPr>
                            <w:fldChar w:fldCharType="separate"/>
                          </w:r>
                          <w:r>
                            <w:rPr>
                              <w:rStyle w:val="28"/>
                              <w:rFonts w:ascii="宋体" w:hAnsi="宋体" w:eastAsia="宋体" w:cs="Times New Roman"/>
                              <w:kern w:val="0"/>
                              <w:sz w:val="26"/>
                              <w:szCs w:val="26"/>
                              <w:lang w:val="en-US" w:eastAsia="zh-CN" w:bidi="ar-SA"/>
                            </w:rPr>
                            <w:t>- 88 -</w:t>
                          </w:r>
                          <w:r>
                            <w:rPr>
                              <w:rFonts w:ascii="宋体" w:hAnsi="宋体" w:eastAsia="宋体" w:cs="Times New Roman"/>
                              <w:kern w:val="0"/>
                              <w:sz w:val="26"/>
                              <w:szCs w:val="26"/>
                              <w:lang w:val="en-US" w:eastAsia="zh-CN" w:bidi="ar-SA"/>
                            </w:rPr>
                            <w:fldChar w:fldCharType="end"/>
                          </w:r>
                          <w:r>
                            <w:rPr>
                              <w:rStyle w:val="28"/>
                              <w:rFonts w:hint="eastAsia" w:ascii="宋体" w:hAnsi="宋体" w:eastAsia="宋体" w:cs="Times New Roman"/>
                              <w:kern w:val="0"/>
                              <w:sz w:val="20"/>
                              <w:szCs w:val="20"/>
                              <w:lang w:val="en-US" w:eastAsia="zh-CN" w:bidi="ar-SA"/>
                            </w:rPr>
                            <w:t xml:space="preserve">  </w:t>
                          </w:r>
                          <w:r>
                            <w:rPr>
                              <w:rStyle w:val="28"/>
                              <w:rFonts w:hint="eastAsia" w:ascii="宋体" w:hAnsi="宋体" w:eastAsia="宋体" w:cs="Times New Roman"/>
                              <w:kern w:val="0"/>
                              <w:sz w:val="28"/>
                              <w:szCs w:val="28"/>
                              <w:lang w:val="en-US" w:eastAsia="zh-CN" w:bidi="ar-SA"/>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xZ+TlrgEAAEsD&#10;AAAOAAAAAAAAAAEAIAAAAB4BAABkcnMvZTJvRG9jLnhtbFBLBQYAAAAABgAGAFkBAAA+BQAAAAA=&#10;">
              <v:fill on="f" focussize="0,0"/>
              <v:stroke on="f"/>
              <v:imagedata o:title=""/>
              <o:lock v:ext="edit" aspectratio="f"/>
              <v:textbox inset="0mm,0mm,0mm,0mm" style="mso-fit-shape-to-text:t;">
                <w:txbxContent>
                  <w:p>
                    <w:pPr>
                      <w:widowControl w:val="0"/>
                      <w:snapToGrid w:val="0"/>
                      <w:spacing w:line="360" w:lineRule="auto"/>
                      <w:jc w:val="left"/>
                      <w:rPr>
                        <w:rStyle w:val="28"/>
                        <w:rFonts w:ascii="宋体" w:hAnsi="宋体" w:eastAsia="宋体" w:cs="Times New Roman"/>
                        <w:kern w:val="0"/>
                        <w:sz w:val="28"/>
                        <w:szCs w:val="28"/>
                        <w:lang w:val="en-US" w:eastAsia="zh-CN" w:bidi="ar-SA"/>
                      </w:rPr>
                    </w:pPr>
                    <w:r>
                      <w:rPr>
                        <w:rStyle w:val="28"/>
                        <w:rFonts w:hint="eastAsia" w:ascii="宋体" w:hAnsi="宋体" w:eastAsia="宋体" w:cs="Times New Roman"/>
                        <w:kern w:val="0"/>
                        <w:sz w:val="28"/>
                        <w:szCs w:val="28"/>
                        <w:lang w:val="en-US" w:eastAsia="zh-CN" w:bidi="ar-SA"/>
                      </w:rPr>
                      <w:t>—</w:t>
                    </w:r>
                    <w:r>
                      <w:rPr>
                        <w:rStyle w:val="28"/>
                        <w:rFonts w:hint="eastAsia" w:ascii="宋体" w:hAnsi="宋体" w:eastAsia="宋体" w:cs="Times New Roman"/>
                        <w:kern w:val="0"/>
                        <w:sz w:val="20"/>
                        <w:szCs w:val="20"/>
                        <w:lang w:val="en-US" w:eastAsia="zh-CN" w:bidi="ar-SA"/>
                      </w:rPr>
                      <w:t xml:space="preserve">  </w:t>
                    </w:r>
                    <w:r>
                      <w:rPr>
                        <w:rFonts w:ascii="宋体" w:hAnsi="宋体" w:eastAsia="宋体" w:cs="Times New Roman"/>
                        <w:kern w:val="0"/>
                        <w:sz w:val="26"/>
                        <w:szCs w:val="26"/>
                        <w:lang w:val="en-US" w:eastAsia="zh-CN" w:bidi="ar-SA"/>
                      </w:rPr>
                      <w:fldChar w:fldCharType="begin"/>
                    </w:r>
                    <w:r>
                      <w:rPr>
                        <w:rStyle w:val="28"/>
                        <w:rFonts w:ascii="宋体" w:hAnsi="宋体" w:eastAsia="宋体" w:cs="Times New Roman"/>
                        <w:kern w:val="0"/>
                        <w:sz w:val="26"/>
                        <w:szCs w:val="26"/>
                        <w:lang w:val="en-US" w:eastAsia="zh-CN" w:bidi="ar-SA"/>
                      </w:rPr>
                      <w:instrText xml:space="preserve">PAGE  </w:instrText>
                    </w:r>
                    <w:r>
                      <w:rPr>
                        <w:rFonts w:ascii="宋体" w:hAnsi="宋体" w:eastAsia="宋体" w:cs="Times New Roman"/>
                        <w:kern w:val="0"/>
                        <w:sz w:val="26"/>
                        <w:szCs w:val="26"/>
                        <w:lang w:val="en-US" w:eastAsia="zh-CN" w:bidi="ar-SA"/>
                      </w:rPr>
                      <w:fldChar w:fldCharType="separate"/>
                    </w:r>
                    <w:r>
                      <w:rPr>
                        <w:rStyle w:val="28"/>
                        <w:rFonts w:ascii="宋体" w:hAnsi="宋体" w:eastAsia="宋体" w:cs="Times New Roman"/>
                        <w:kern w:val="0"/>
                        <w:sz w:val="26"/>
                        <w:szCs w:val="26"/>
                        <w:lang w:val="en-US" w:eastAsia="zh-CN" w:bidi="ar-SA"/>
                      </w:rPr>
                      <w:t>- 88 -</w:t>
                    </w:r>
                    <w:r>
                      <w:rPr>
                        <w:rFonts w:ascii="宋体" w:hAnsi="宋体" w:eastAsia="宋体" w:cs="Times New Roman"/>
                        <w:kern w:val="0"/>
                        <w:sz w:val="26"/>
                        <w:szCs w:val="26"/>
                        <w:lang w:val="en-US" w:eastAsia="zh-CN" w:bidi="ar-SA"/>
                      </w:rPr>
                      <w:fldChar w:fldCharType="end"/>
                    </w:r>
                    <w:r>
                      <w:rPr>
                        <w:rStyle w:val="28"/>
                        <w:rFonts w:hint="eastAsia" w:ascii="宋体" w:hAnsi="宋体" w:eastAsia="宋体" w:cs="Times New Roman"/>
                        <w:kern w:val="0"/>
                        <w:sz w:val="20"/>
                        <w:szCs w:val="20"/>
                        <w:lang w:val="en-US" w:eastAsia="zh-CN" w:bidi="ar-SA"/>
                      </w:rPr>
                      <w:t xml:space="preserve">  </w:t>
                    </w:r>
                    <w:r>
                      <w:rPr>
                        <w:rStyle w:val="28"/>
                        <w:rFonts w:hint="eastAsia" w:ascii="宋体" w:hAnsi="宋体" w:eastAsia="宋体" w:cs="Times New Roman"/>
                        <w:kern w:val="0"/>
                        <w:sz w:val="28"/>
                        <w:szCs w:val="28"/>
                        <w:lang w:val="en-US" w:eastAsia="zh-CN" w:bidi="ar-SA"/>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0065A6"/>
    <w:multiLevelType w:val="singleLevel"/>
    <w:tmpl w:val="940065A6"/>
    <w:lvl w:ilvl="0" w:tentative="0">
      <w:start w:val="1"/>
      <w:numFmt w:val="bullet"/>
      <w:pStyle w:val="15"/>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3MjQzMjY1NmIxMmRmM2Y2MzY2Y2JmZGFhMDI2YjUifQ=="/>
  </w:docVars>
  <w:rsids>
    <w:rsidRoot w:val="00172A27"/>
    <w:rsid w:val="00784F79"/>
    <w:rsid w:val="00945B87"/>
    <w:rsid w:val="00A759C6"/>
    <w:rsid w:val="00EC5C36"/>
    <w:rsid w:val="01AC270D"/>
    <w:rsid w:val="01C57689"/>
    <w:rsid w:val="022053A8"/>
    <w:rsid w:val="02F11C2E"/>
    <w:rsid w:val="032541D4"/>
    <w:rsid w:val="03340A0E"/>
    <w:rsid w:val="03B96A29"/>
    <w:rsid w:val="04B26AFB"/>
    <w:rsid w:val="04BE264B"/>
    <w:rsid w:val="04C234D5"/>
    <w:rsid w:val="04C645ED"/>
    <w:rsid w:val="04D85A0C"/>
    <w:rsid w:val="04E13CFD"/>
    <w:rsid w:val="05086152"/>
    <w:rsid w:val="05221DAF"/>
    <w:rsid w:val="05691C0C"/>
    <w:rsid w:val="05A024B5"/>
    <w:rsid w:val="06167383"/>
    <w:rsid w:val="0626153E"/>
    <w:rsid w:val="06314FA1"/>
    <w:rsid w:val="0661605C"/>
    <w:rsid w:val="06646496"/>
    <w:rsid w:val="06AA4B80"/>
    <w:rsid w:val="06D0630D"/>
    <w:rsid w:val="06E82F1C"/>
    <w:rsid w:val="06FB1C33"/>
    <w:rsid w:val="07092FD9"/>
    <w:rsid w:val="07A4058B"/>
    <w:rsid w:val="07E220DB"/>
    <w:rsid w:val="08126460"/>
    <w:rsid w:val="087368B7"/>
    <w:rsid w:val="08A17C64"/>
    <w:rsid w:val="08A92017"/>
    <w:rsid w:val="091E44A0"/>
    <w:rsid w:val="09315D55"/>
    <w:rsid w:val="09812821"/>
    <w:rsid w:val="09EC058D"/>
    <w:rsid w:val="0A5170C4"/>
    <w:rsid w:val="0A5F562A"/>
    <w:rsid w:val="0A607490"/>
    <w:rsid w:val="0A87722E"/>
    <w:rsid w:val="0A940680"/>
    <w:rsid w:val="0AD16269"/>
    <w:rsid w:val="0AEC2DEE"/>
    <w:rsid w:val="0B1D5429"/>
    <w:rsid w:val="0B5C479C"/>
    <w:rsid w:val="0B6E12BB"/>
    <w:rsid w:val="0BA16742"/>
    <w:rsid w:val="0BF42B0B"/>
    <w:rsid w:val="0C633B92"/>
    <w:rsid w:val="0C7245BF"/>
    <w:rsid w:val="0CC94749"/>
    <w:rsid w:val="0CD46785"/>
    <w:rsid w:val="0CDB7396"/>
    <w:rsid w:val="0D1572A6"/>
    <w:rsid w:val="0D1B7068"/>
    <w:rsid w:val="0D2F2FFA"/>
    <w:rsid w:val="0DA5237F"/>
    <w:rsid w:val="0DBD2533"/>
    <w:rsid w:val="0DF02F37"/>
    <w:rsid w:val="0E0C3839"/>
    <w:rsid w:val="0E2350BD"/>
    <w:rsid w:val="0EBB401B"/>
    <w:rsid w:val="0EE66617"/>
    <w:rsid w:val="0F202A7F"/>
    <w:rsid w:val="0F2A7B54"/>
    <w:rsid w:val="0F3460C9"/>
    <w:rsid w:val="0F7C71CF"/>
    <w:rsid w:val="0F8C2905"/>
    <w:rsid w:val="0F9365D9"/>
    <w:rsid w:val="1048328F"/>
    <w:rsid w:val="10607F4C"/>
    <w:rsid w:val="10943BB1"/>
    <w:rsid w:val="110816FE"/>
    <w:rsid w:val="11436873"/>
    <w:rsid w:val="11623847"/>
    <w:rsid w:val="118921CB"/>
    <w:rsid w:val="11C02426"/>
    <w:rsid w:val="11CB3542"/>
    <w:rsid w:val="11E3017D"/>
    <w:rsid w:val="1236105D"/>
    <w:rsid w:val="12500DFD"/>
    <w:rsid w:val="12B953C0"/>
    <w:rsid w:val="12D32169"/>
    <w:rsid w:val="12E02EB2"/>
    <w:rsid w:val="142A61C2"/>
    <w:rsid w:val="14690FF8"/>
    <w:rsid w:val="149F0B99"/>
    <w:rsid w:val="15802765"/>
    <w:rsid w:val="15B5592D"/>
    <w:rsid w:val="16104A35"/>
    <w:rsid w:val="16195AB7"/>
    <w:rsid w:val="16392F54"/>
    <w:rsid w:val="164558AC"/>
    <w:rsid w:val="16463BBA"/>
    <w:rsid w:val="16DC033D"/>
    <w:rsid w:val="16F93031"/>
    <w:rsid w:val="17277156"/>
    <w:rsid w:val="17611CBE"/>
    <w:rsid w:val="17780311"/>
    <w:rsid w:val="177F1FB0"/>
    <w:rsid w:val="180172F1"/>
    <w:rsid w:val="18471563"/>
    <w:rsid w:val="1851115D"/>
    <w:rsid w:val="1855256A"/>
    <w:rsid w:val="18CE1F1F"/>
    <w:rsid w:val="18D9445D"/>
    <w:rsid w:val="190D5985"/>
    <w:rsid w:val="19584609"/>
    <w:rsid w:val="19662675"/>
    <w:rsid w:val="19A2570C"/>
    <w:rsid w:val="19C07BA8"/>
    <w:rsid w:val="1A2A181A"/>
    <w:rsid w:val="1AD82BDF"/>
    <w:rsid w:val="1AE17EE9"/>
    <w:rsid w:val="1B1059C0"/>
    <w:rsid w:val="1B6E48CF"/>
    <w:rsid w:val="1BA368C8"/>
    <w:rsid w:val="1C18715D"/>
    <w:rsid w:val="1C316D12"/>
    <w:rsid w:val="1C6715BA"/>
    <w:rsid w:val="1C753F9B"/>
    <w:rsid w:val="1D300CDF"/>
    <w:rsid w:val="1D335A09"/>
    <w:rsid w:val="1D631146"/>
    <w:rsid w:val="1D8553D8"/>
    <w:rsid w:val="1DF47160"/>
    <w:rsid w:val="1DFE71E1"/>
    <w:rsid w:val="1E1525D8"/>
    <w:rsid w:val="1E245E99"/>
    <w:rsid w:val="1ED37DCF"/>
    <w:rsid w:val="1EFE5FE0"/>
    <w:rsid w:val="1F00672C"/>
    <w:rsid w:val="1F0B21B5"/>
    <w:rsid w:val="1F2313B3"/>
    <w:rsid w:val="1F260A5D"/>
    <w:rsid w:val="1F340A3A"/>
    <w:rsid w:val="1F3B70B6"/>
    <w:rsid w:val="1F3D4BB4"/>
    <w:rsid w:val="1F9638BE"/>
    <w:rsid w:val="1FA55BA5"/>
    <w:rsid w:val="1FEA3099"/>
    <w:rsid w:val="200A39D4"/>
    <w:rsid w:val="202A0848"/>
    <w:rsid w:val="20B95D12"/>
    <w:rsid w:val="20E160FC"/>
    <w:rsid w:val="21271B31"/>
    <w:rsid w:val="215F7490"/>
    <w:rsid w:val="21A0377B"/>
    <w:rsid w:val="21B1415B"/>
    <w:rsid w:val="220E6119"/>
    <w:rsid w:val="22360C1A"/>
    <w:rsid w:val="22476517"/>
    <w:rsid w:val="225664A8"/>
    <w:rsid w:val="225D00EF"/>
    <w:rsid w:val="237771BD"/>
    <w:rsid w:val="238B0858"/>
    <w:rsid w:val="23B910D9"/>
    <w:rsid w:val="242304A8"/>
    <w:rsid w:val="243F0662"/>
    <w:rsid w:val="246C6274"/>
    <w:rsid w:val="247717BE"/>
    <w:rsid w:val="24AE070E"/>
    <w:rsid w:val="24F96892"/>
    <w:rsid w:val="250133F3"/>
    <w:rsid w:val="25174B64"/>
    <w:rsid w:val="251B60B5"/>
    <w:rsid w:val="25DB1C28"/>
    <w:rsid w:val="265B221C"/>
    <w:rsid w:val="265B27D7"/>
    <w:rsid w:val="26800922"/>
    <w:rsid w:val="268B52A1"/>
    <w:rsid w:val="26C743A2"/>
    <w:rsid w:val="26E37086"/>
    <w:rsid w:val="26EE20D8"/>
    <w:rsid w:val="273838B1"/>
    <w:rsid w:val="27E05585"/>
    <w:rsid w:val="27E47FED"/>
    <w:rsid w:val="28190EB0"/>
    <w:rsid w:val="281B77ED"/>
    <w:rsid w:val="2820213A"/>
    <w:rsid w:val="285A541D"/>
    <w:rsid w:val="287C11F9"/>
    <w:rsid w:val="2897069C"/>
    <w:rsid w:val="28D06BED"/>
    <w:rsid w:val="296A4300"/>
    <w:rsid w:val="296B6215"/>
    <w:rsid w:val="2A0F38EE"/>
    <w:rsid w:val="2A753CB7"/>
    <w:rsid w:val="2A987CA1"/>
    <w:rsid w:val="2BC85AF8"/>
    <w:rsid w:val="2C32172A"/>
    <w:rsid w:val="2C863724"/>
    <w:rsid w:val="2C944B95"/>
    <w:rsid w:val="2D393D17"/>
    <w:rsid w:val="2D662499"/>
    <w:rsid w:val="2DB101D4"/>
    <w:rsid w:val="2DB15BE9"/>
    <w:rsid w:val="2DBE53F3"/>
    <w:rsid w:val="2DF848A6"/>
    <w:rsid w:val="2E497237"/>
    <w:rsid w:val="2E58434C"/>
    <w:rsid w:val="2E65252E"/>
    <w:rsid w:val="2E697708"/>
    <w:rsid w:val="2E6E0893"/>
    <w:rsid w:val="2E842A30"/>
    <w:rsid w:val="2E9F7806"/>
    <w:rsid w:val="2EAD0C93"/>
    <w:rsid w:val="2ECC5854"/>
    <w:rsid w:val="2F482CF0"/>
    <w:rsid w:val="2F6B1DDB"/>
    <w:rsid w:val="2FE43E74"/>
    <w:rsid w:val="300173D0"/>
    <w:rsid w:val="304037D0"/>
    <w:rsid w:val="309F0F93"/>
    <w:rsid w:val="30A163D1"/>
    <w:rsid w:val="30C504F7"/>
    <w:rsid w:val="30FA63BA"/>
    <w:rsid w:val="318E63AC"/>
    <w:rsid w:val="31B65C5D"/>
    <w:rsid w:val="32074614"/>
    <w:rsid w:val="3234425F"/>
    <w:rsid w:val="32656DD9"/>
    <w:rsid w:val="32EA2848"/>
    <w:rsid w:val="335859F8"/>
    <w:rsid w:val="336A3579"/>
    <w:rsid w:val="339C1A2D"/>
    <w:rsid w:val="33C42318"/>
    <w:rsid w:val="33EA6CD6"/>
    <w:rsid w:val="34261156"/>
    <w:rsid w:val="3481002C"/>
    <w:rsid w:val="349A7FAB"/>
    <w:rsid w:val="35152A65"/>
    <w:rsid w:val="3516509B"/>
    <w:rsid w:val="351D226D"/>
    <w:rsid w:val="3550282B"/>
    <w:rsid w:val="355D56D9"/>
    <w:rsid w:val="355F2307"/>
    <w:rsid w:val="359F5E29"/>
    <w:rsid w:val="35B02F65"/>
    <w:rsid w:val="362044F8"/>
    <w:rsid w:val="365D607A"/>
    <w:rsid w:val="36C44F4C"/>
    <w:rsid w:val="36C77EA8"/>
    <w:rsid w:val="375201D9"/>
    <w:rsid w:val="375F0F8B"/>
    <w:rsid w:val="37C14EE7"/>
    <w:rsid w:val="37E73A92"/>
    <w:rsid w:val="37F26BB1"/>
    <w:rsid w:val="382D5779"/>
    <w:rsid w:val="38EB1657"/>
    <w:rsid w:val="396F11C9"/>
    <w:rsid w:val="39974270"/>
    <w:rsid w:val="399A0A8B"/>
    <w:rsid w:val="39C51EFB"/>
    <w:rsid w:val="3A8246E3"/>
    <w:rsid w:val="3A8B45F5"/>
    <w:rsid w:val="3B2969B2"/>
    <w:rsid w:val="3B2D7FA3"/>
    <w:rsid w:val="3B692535"/>
    <w:rsid w:val="3B72058B"/>
    <w:rsid w:val="3B7445A5"/>
    <w:rsid w:val="3BBB5D82"/>
    <w:rsid w:val="3BC07659"/>
    <w:rsid w:val="3BFB6B8D"/>
    <w:rsid w:val="3BFF2469"/>
    <w:rsid w:val="3CB13B72"/>
    <w:rsid w:val="3CB831DC"/>
    <w:rsid w:val="3CCB527A"/>
    <w:rsid w:val="3D647219"/>
    <w:rsid w:val="3D6F2608"/>
    <w:rsid w:val="3DEF692E"/>
    <w:rsid w:val="3F650609"/>
    <w:rsid w:val="3F9206B1"/>
    <w:rsid w:val="3FB47883"/>
    <w:rsid w:val="3FF60CFC"/>
    <w:rsid w:val="40471402"/>
    <w:rsid w:val="4064582D"/>
    <w:rsid w:val="4098615A"/>
    <w:rsid w:val="40C41127"/>
    <w:rsid w:val="40F727E6"/>
    <w:rsid w:val="411A3DC6"/>
    <w:rsid w:val="41254B86"/>
    <w:rsid w:val="418D6C2A"/>
    <w:rsid w:val="41901B63"/>
    <w:rsid w:val="41D14B27"/>
    <w:rsid w:val="42334242"/>
    <w:rsid w:val="42F90461"/>
    <w:rsid w:val="42F93FCA"/>
    <w:rsid w:val="43316080"/>
    <w:rsid w:val="437C5B20"/>
    <w:rsid w:val="438E1C4B"/>
    <w:rsid w:val="44D7036A"/>
    <w:rsid w:val="44D778D5"/>
    <w:rsid w:val="45EE6F3C"/>
    <w:rsid w:val="45F859AA"/>
    <w:rsid w:val="463665E9"/>
    <w:rsid w:val="465A54B7"/>
    <w:rsid w:val="46C033B4"/>
    <w:rsid w:val="4706339E"/>
    <w:rsid w:val="47376CBD"/>
    <w:rsid w:val="47B26DA1"/>
    <w:rsid w:val="47F35E58"/>
    <w:rsid w:val="47FF3BEF"/>
    <w:rsid w:val="481329B3"/>
    <w:rsid w:val="48494024"/>
    <w:rsid w:val="48A7345D"/>
    <w:rsid w:val="48B05FF0"/>
    <w:rsid w:val="48FC19A0"/>
    <w:rsid w:val="48FF58F1"/>
    <w:rsid w:val="492C3164"/>
    <w:rsid w:val="49952987"/>
    <w:rsid w:val="4A0D523C"/>
    <w:rsid w:val="4A5C78C3"/>
    <w:rsid w:val="4AAC7BBF"/>
    <w:rsid w:val="4B0D644F"/>
    <w:rsid w:val="4B766CE7"/>
    <w:rsid w:val="4B77680A"/>
    <w:rsid w:val="4BB40277"/>
    <w:rsid w:val="4BBC0694"/>
    <w:rsid w:val="4BD1589C"/>
    <w:rsid w:val="4BE73EFC"/>
    <w:rsid w:val="4C0B4911"/>
    <w:rsid w:val="4C3C39C6"/>
    <w:rsid w:val="4C415377"/>
    <w:rsid w:val="4C6A383F"/>
    <w:rsid w:val="4C7A5E92"/>
    <w:rsid w:val="4D6017D4"/>
    <w:rsid w:val="4DC27959"/>
    <w:rsid w:val="4DE13022"/>
    <w:rsid w:val="4DE478D1"/>
    <w:rsid w:val="4E051516"/>
    <w:rsid w:val="4E4D75FB"/>
    <w:rsid w:val="4EB5196F"/>
    <w:rsid w:val="4EC54C2E"/>
    <w:rsid w:val="4EDD4F23"/>
    <w:rsid w:val="4F50255A"/>
    <w:rsid w:val="4F641D52"/>
    <w:rsid w:val="4FC64F89"/>
    <w:rsid w:val="4FD73562"/>
    <w:rsid w:val="50125644"/>
    <w:rsid w:val="50184FC3"/>
    <w:rsid w:val="50F86461"/>
    <w:rsid w:val="5194673C"/>
    <w:rsid w:val="523E658A"/>
    <w:rsid w:val="52430B89"/>
    <w:rsid w:val="52C80105"/>
    <w:rsid w:val="52F31CB0"/>
    <w:rsid w:val="53542CB4"/>
    <w:rsid w:val="53C23482"/>
    <w:rsid w:val="53C95B4C"/>
    <w:rsid w:val="54496E39"/>
    <w:rsid w:val="545B2787"/>
    <w:rsid w:val="54BE3246"/>
    <w:rsid w:val="54D81505"/>
    <w:rsid w:val="54D8627D"/>
    <w:rsid w:val="55622854"/>
    <w:rsid w:val="55B71451"/>
    <w:rsid w:val="56F81460"/>
    <w:rsid w:val="57E84B4F"/>
    <w:rsid w:val="57EC6DE4"/>
    <w:rsid w:val="58077260"/>
    <w:rsid w:val="5823038C"/>
    <w:rsid w:val="58694563"/>
    <w:rsid w:val="587C0BE5"/>
    <w:rsid w:val="58863C8E"/>
    <w:rsid w:val="58A0776F"/>
    <w:rsid w:val="58E83E0D"/>
    <w:rsid w:val="5930099F"/>
    <w:rsid w:val="593F665B"/>
    <w:rsid w:val="59651836"/>
    <w:rsid w:val="59741E68"/>
    <w:rsid w:val="597436EC"/>
    <w:rsid w:val="59772598"/>
    <w:rsid w:val="597D7BDC"/>
    <w:rsid w:val="59BA30C8"/>
    <w:rsid w:val="59BE14FE"/>
    <w:rsid w:val="59D967AA"/>
    <w:rsid w:val="5A180A56"/>
    <w:rsid w:val="5AEF14D8"/>
    <w:rsid w:val="5AFC66FF"/>
    <w:rsid w:val="5B4D670D"/>
    <w:rsid w:val="5B905685"/>
    <w:rsid w:val="5BF2364B"/>
    <w:rsid w:val="5C1346DC"/>
    <w:rsid w:val="5C52337D"/>
    <w:rsid w:val="5C780F2D"/>
    <w:rsid w:val="5CB44A25"/>
    <w:rsid w:val="5CEE3824"/>
    <w:rsid w:val="5CF013CD"/>
    <w:rsid w:val="5CFE2BCF"/>
    <w:rsid w:val="5D0D7043"/>
    <w:rsid w:val="5DCE2233"/>
    <w:rsid w:val="5DDD6F12"/>
    <w:rsid w:val="5E7E4453"/>
    <w:rsid w:val="5E8F6BF8"/>
    <w:rsid w:val="5EA91F39"/>
    <w:rsid w:val="5EA974BD"/>
    <w:rsid w:val="5EEA02AD"/>
    <w:rsid w:val="5F517556"/>
    <w:rsid w:val="5F7558FC"/>
    <w:rsid w:val="5F7E025C"/>
    <w:rsid w:val="5F857A52"/>
    <w:rsid w:val="5FD76C87"/>
    <w:rsid w:val="5FDD6D6E"/>
    <w:rsid w:val="5FF30BED"/>
    <w:rsid w:val="600C2DF7"/>
    <w:rsid w:val="6037647A"/>
    <w:rsid w:val="603F48B8"/>
    <w:rsid w:val="60C653DC"/>
    <w:rsid w:val="61097D92"/>
    <w:rsid w:val="61453074"/>
    <w:rsid w:val="617702EE"/>
    <w:rsid w:val="61B47468"/>
    <w:rsid w:val="61D02A5B"/>
    <w:rsid w:val="61E25B92"/>
    <w:rsid w:val="6246335A"/>
    <w:rsid w:val="62887FA0"/>
    <w:rsid w:val="62F10B5D"/>
    <w:rsid w:val="639804A8"/>
    <w:rsid w:val="63994320"/>
    <w:rsid w:val="63D0402A"/>
    <w:rsid w:val="641A0D23"/>
    <w:rsid w:val="641D5CF9"/>
    <w:rsid w:val="646A2C42"/>
    <w:rsid w:val="646C47D4"/>
    <w:rsid w:val="6479617D"/>
    <w:rsid w:val="64BD41BA"/>
    <w:rsid w:val="64BD537D"/>
    <w:rsid w:val="64E7571E"/>
    <w:rsid w:val="64FC3100"/>
    <w:rsid w:val="650C33C2"/>
    <w:rsid w:val="651A4A1F"/>
    <w:rsid w:val="65317919"/>
    <w:rsid w:val="658761CE"/>
    <w:rsid w:val="65895E93"/>
    <w:rsid w:val="65E37AB7"/>
    <w:rsid w:val="66536000"/>
    <w:rsid w:val="66850317"/>
    <w:rsid w:val="66B755A0"/>
    <w:rsid w:val="66D503F1"/>
    <w:rsid w:val="66DE3B60"/>
    <w:rsid w:val="66F401BA"/>
    <w:rsid w:val="678C392E"/>
    <w:rsid w:val="679A157F"/>
    <w:rsid w:val="67CD4C9D"/>
    <w:rsid w:val="67DC02DD"/>
    <w:rsid w:val="682442DA"/>
    <w:rsid w:val="68351FD2"/>
    <w:rsid w:val="68622523"/>
    <w:rsid w:val="68E3003C"/>
    <w:rsid w:val="69281EDC"/>
    <w:rsid w:val="694F2F3B"/>
    <w:rsid w:val="6AE042D7"/>
    <w:rsid w:val="6AFB76B4"/>
    <w:rsid w:val="6B55043B"/>
    <w:rsid w:val="6B660781"/>
    <w:rsid w:val="6B983B9B"/>
    <w:rsid w:val="6BAF0DC7"/>
    <w:rsid w:val="6BBC6833"/>
    <w:rsid w:val="6BDB50EC"/>
    <w:rsid w:val="6C39639B"/>
    <w:rsid w:val="6C531905"/>
    <w:rsid w:val="6C6824EC"/>
    <w:rsid w:val="6CB8118B"/>
    <w:rsid w:val="6CE07B36"/>
    <w:rsid w:val="6CED31E2"/>
    <w:rsid w:val="6D1A5231"/>
    <w:rsid w:val="6D5138FB"/>
    <w:rsid w:val="6DC82142"/>
    <w:rsid w:val="6DD60F15"/>
    <w:rsid w:val="6E061C4E"/>
    <w:rsid w:val="6E5B76D0"/>
    <w:rsid w:val="6E8E22A9"/>
    <w:rsid w:val="6E944B15"/>
    <w:rsid w:val="6E953376"/>
    <w:rsid w:val="6EB275C4"/>
    <w:rsid w:val="6F450B57"/>
    <w:rsid w:val="6FC647E6"/>
    <w:rsid w:val="6FDE70D1"/>
    <w:rsid w:val="6FE67F9F"/>
    <w:rsid w:val="70FC1B6E"/>
    <w:rsid w:val="711E6275"/>
    <w:rsid w:val="71644BEE"/>
    <w:rsid w:val="71A001A9"/>
    <w:rsid w:val="71AB248D"/>
    <w:rsid w:val="722A1E1A"/>
    <w:rsid w:val="724A6828"/>
    <w:rsid w:val="72BD31FC"/>
    <w:rsid w:val="734A1F69"/>
    <w:rsid w:val="747865A8"/>
    <w:rsid w:val="74E0680A"/>
    <w:rsid w:val="752E1AE3"/>
    <w:rsid w:val="754E6AAD"/>
    <w:rsid w:val="756815A1"/>
    <w:rsid w:val="766274AC"/>
    <w:rsid w:val="76ED683A"/>
    <w:rsid w:val="77580AB0"/>
    <w:rsid w:val="77802248"/>
    <w:rsid w:val="77EC4460"/>
    <w:rsid w:val="77F26BFC"/>
    <w:rsid w:val="780F48EB"/>
    <w:rsid w:val="7814266B"/>
    <w:rsid w:val="783A672D"/>
    <w:rsid w:val="78585446"/>
    <w:rsid w:val="78A64B12"/>
    <w:rsid w:val="79163C06"/>
    <w:rsid w:val="7946262F"/>
    <w:rsid w:val="79705941"/>
    <w:rsid w:val="79ED4398"/>
    <w:rsid w:val="7A3A746B"/>
    <w:rsid w:val="7A773A49"/>
    <w:rsid w:val="7B621247"/>
    <w:rsid w:val="7B6E08D8"/>
    <w:rsid w:val="7B6F38D9"/>
    <w:rsid w:val="7B92480E"/>
    <w:rsid w:val="7BA061FE"/>
    <w:rsid w:val="7CB70B70"/>
    <w:rsid w:val="7CB75030"/>
    <w:rsid w:val="7CC63DB8"/>
    <w:rsid w:val="7CF523F9"/>
    <w:rsid w:val="7CF63E24"/>
    <w:rsid w:val="7D1E5F04"/>
    <w:rsid w:val="7D2E7899"/>
    <w:rsid w:val="7D533C5A"/>
    <w:rsid w:val="7D700CEE"/>
    <w:rsid w:val="7D7318A3"/>
    <w:rsid w:val="7DDD4E86"/>
    <w:rsid w:val="7DED7DE5"/>
    <w:rsid w:val="7E5E5DBA"/>
    <w:rsid w:val="7E71557C"/>
    <w:rsid w:val="7E7278ED"/>
    <w:rsid w:val="7EB061B7"/>
    <w:rsid w:val="7ED83DB9"/>
    <w:rsid w:val="7EE56ACE"/>
    <w:rsid w:val="7F0E3236"/>
    <w:rsid w:val="7F1573F7"/>
    <w:rsid w:val="7F216F31"/>
    <w:rsid w:val="7F31460E"/>
    <w:rsid w:val="7F6E2D71"/>
    <w:rsid w:val="7F8911CE"/>
    <w:rsid w:val="7FC80BD5"/>
    <w:rsid w:val="7FCD0A6F"/>
    <w:rsid w:val="7FDF05C8"/>
    <w:rsid w:val="7FE600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5">
    <w:name w:val="heading 1"/>
    <w:basedOn w:val="1"/>
    <w:next w:val="1"/>
    <w:link w:val="42"/>
    <w:qFormat/>
    <w:uiPriority w:val="0"/>
    <w:pPr>
      <w:keepNext/>
      <w:keepLines/>
      <w:spacing w:beforeLines="0" w:beforeAutospacing="0" w:afterAutospacing="0" w:line="360" w:lineRule="auto"/>
      <w:outlineLvl w:val="0"/>
    </w:pPr>
    <w:rPr>
      <w:rFonts w:ascii="Times New Roman" w:hAnsi="Times New Roman" w:eastAsia="宋体" w:cs="Times New Roman"/>
      <w:b/>
      <w:kern w:val="44"/>
      <w:sz w:val="30"/>
    </w:rPr>
  </w:style>
  <w:style w:type="paragraph" w:styleId="6">
    <w:name w:val="heading 2"/>
    <w:basedOn w:val="1"/>
    <w:next w:val="1"/>
    <w:semiHidden/>
    <w:unhideWhenUsed/>
    <w:qFormat/>
    <w:uiPriority w:val="0"/>
    <w:pPr>
      <w:keepNext/>
      <w:keepLines/>
      <w:spacing w:beforeLines="0" w:beforeAutospacing="0" w:afterLines="0" w:afterAutospacing="0" w:line="360" w:lineRule="auto"/>
      <w:outlineLvl w:val="1"/>
    </w:pPr>
    <w:rPr>
      <w:rFonts w:ascii="Times New Roman" w:hAnsi="Times New Roman" w:eastAsia="宋体" w:cs="Times New Roman"/>
      <w:b/>
      <w:sz w:val="28"/>
      <w:szCs w:val="24"/>
    </w:rPr>
  </w:style>
  <w:style w:type="paragraph" w:styleId="7">
    <w:name w:val="heading 3"/>
    <w:basedOn w:val="1"/>
    <w:next w:val="1"/>
    <w:semiHidden/>
    <w:unhideWhenUsed/>
    <w:qFormat/>
    <w:uiPriority w:val="0"/>
    <w:pPr>
      <w:keepNext/>
      <w:keepLines/>
      <w:spacing w:line="360" w:lineRule="auto"/>
      <w:ind w:firstLine="880" w:firstLineChars="200"/>
      <w:outlineLvl w:val="2"/>
    </w:pPr>
    <w:rPr>
      <w:rFonts w:ascii="Times New Roman" w:hAnsi="Times New Roman" w:eastAsia="宋体" w:cs="Times New Roman"/>
      <w:b/>
      <w:bCs/>
      <w:sz w:val="24"/>
      <w:szCs w:val="24"/>
    </w:rPr>
  </w:style>
  <w:style w:type="paragraph" w:styleId="8">
    <w:name w:val="heading 4"/>
    <w:next w:val="1"/>
    <w:qFormat/>
    <w:uiPriority w:val="9"/>
    <w:pPr>
      <w:keepNext/>
      <w:keepLines/>
      <w:widowControl w:val="0"/>
      <w:spacing w:before="280" w:after="290" w:line="376" w:lineRule="auto"/>
      <w:jc w:val="both"/>
      <w:outlineLvl w:val="3"/>
    </w:pPr>
    <w:rPr>
      <w:rFonts w:ascii="Arial" w:hAnsi="Arial" w:eastAsia="黑体" w:cs="Times New Roman"/>
      <w:b/>
      <w:bCs/>
      <w:kern w:val="2"/>
      <w:sz w:val="28"/>
      <w:szCs w:val="28"/>
      <w:lang w:val="en-US" w:eastAsia="zh-CN" w:bidi="ar-SA"/>
    </w:rPr>
  </w:style>
  <w:style w:type="paragraph" w:styleId="9">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6">
    <w:name w:val="Default Paragraph Font"/>
    <w:semiHidden/>
    <w:qFormat/>
    <w:uiPriority w:val="0"/>
  </w:style>
  <w:style w:type="table" w:default="1" w:styleId="24">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qFormat/>
    <w:uiPriority w:val="0"/>
    <w:pPr>
      <w:widowControl/>
      <w:snapToGrid w:val="0"/>
      <w:spacing w:before="60" w:after="160" w:line="259" w:lineRule="auto"/>
      <w:ind w:right="113"/>
      <w:jc w:val="both"/>
    </w:pPr>
    <w:rPr>
      <w:rFonts w:ascii="Times New Roman" w:hAnsi="Times New Roman" w:eastAsia="宋体" w:cs="Times New Roman"/>
      <w:kern w:val="0"/>
      <w:sz w:val="18"/>
      <w:szCs w:val="20"/>
      <w:lang w:val="en-US" w:eastAsia="zh-CN" w:bidi="ar-SA"/>
    </w:rPr>
  </w:style>
  <w:style w:type="paragraph" w:customStyle="1" w:styleId="3">
    <w:name w:val="表题"/>
    <w:basedOn w:val="4"/>
    <w:next w:val="1"/>
    <w:qFormat/>
    <w:uiPriority w:val="0"/>
    <w:pPr>
      <w:widowControl w:val="0"/>
      <w:spacing w:line="560" w:lineRule="exact"/>
      <w:jc w:val="both"/>
    </w:pPr>
    <w:rPr>
      <w:rFonts w:ascii="Arial" w:hAnsi="Arial" w:eastAsia="黑体" w:cs="Arial"/>
      <w:b/>
      <w:kern w:val="2"/>
      <w:sz w:val="20"/>
      <w:szCs w:val="24"/>
      <w:lang w:val="en-US" w:eastAsia="zh-CN" w:bidi="ar-SA"/>
    </w:rPr>
  </w:style>
  <w:style w:type="paragraph" w:styleId="4">
    <w:name w:val="caption"/>
    <w:basedOn w:val="1"/>
    <w:next w:val="1"/>
    <w:qFormat/>
    <w:uiPriority w:val="99"/>
    <w:pPr>
      <w:widowControl w:val="0"/>
      <w:spacing w:line="560" w:lineRule="exact"/>
      <w:jc w:val="both"/>
    </w:pPr>
    <w:rPr>
      <w:rFonts w:ascii="Arial" w:hAnsi="Arial" w:eastAsia="黑体" w:cs="Arial"/>
      <w:kern w:val="2"/>
      <w:sz w:val="20"/>
      <w:szCs w:val="24"/>
      <w:lang w:val="en-US" w:eastAsia="zh-CN" w:bidi="ar-SA"/>
    </w:rPr>
  </w:style>
  <w:style w:type="paragraph" w:styleId="10">
    <w:name w:val="Normal Indent"/>
    <w:basedOn w:val="1"/>
    <w:next w:val="11"/>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styleId="11">
    <w:name w:val="Body Text First Indent 2"/>
    <w:basedOn w:val="12"/>
    <w:next w:val="1"/>
    <w:qFormat/>
    <w:uiPriority w:val="0"/>
    <w:pPr>
      <w:ind w:firstLine="420" w:firstLineChars="200"/>
    </w:pPr>
  </w:style>
  <w:style w:type="paragraph" w:styleId="12">
    <w:name w:val="Body Text Indent"/>
    <w:basedOn w:val="1"/>
    <w:next w:val="1"/>
    <w:qFormat/>
    <w:uiPriority w:val="0"/>
    <w:pPr>
      <w:spacing w:after="120" w:afterLines="0" w:afterAutospacing="0"/>
      <w:ind w:left="420" w:leftChars="200"/>
    </w:pPr>
  </w:style>
  <w:style w:type="paragraph" w:styleId="13">
    <w:name w:val="annotation text"/>
    <w:basedOn w:val="1"/>
    <w:qFormat/>
    <w:uiPriority w:val="0"/>
    <w:pPr>
      <w:jc w:val="left"/>
    </w:pPr>
  </w:style>
  <w:style w:type="paragraph" w:styleId="14">
    <w:name w:val="Plain Text"/>
    <w:basedOn w:val="1"/>
    <w:next w:val="1"/>
    <w:qFormat/>
    <w:uiPriority w:val="0"/>
    <w:rPr>
      <w:rFonts w:ascii="宋体" w:hAnsi="Courier New"/>
    </w:rPr>
  </w:style>
  <w:style w:type="paragraph" w:styleId="15">
    <w:name w:val="List Bullet 5"/>
    <w:basedOn w:val="1"/>
    <w:qFormat/>
    <w:uiPriority w:val="0"/>
    <w:pPr>
      <w:numPr>
        <w:ilvl w:val="0"/>
        <w:numId w:val="1"/>
      </w:numPr>
    </w:pPr>
  </w:style>
  <w:style w:type="paragraph" w:styleId="16">
    <w:name w:val="Body Text Indent 2"/>
    <w:next w:val="11"/>
    <w:qFormat/>
    <w:uiPriority w:val="0"/>
    <w:pPr>
      <w:widowControl w:val="0"/>
      <w:spacing w:after="120" w:line="480" w:lineRule="auto"/>
      <w:ind w:left="420" w:leftChars="200"/>
      <w:jc w:val="both"/>
    </w:pPr>
    <w:rPr>
      <w:rFonts w:ascii="Times New Roman" w:hAnsi="Times New Roman" w:eastAsia="宋体" w:cs="Times New Roman"/>
      <w:kern w:val="2"/>
      <w:sz w:val="21"/>
      <w:szCs w:val="24"/>
      <w:lang w:val="en-US" w:eastAsia="zh-CN" w:bidi="ar-SA"/>
    </w:rPr>
  </w:style>
  <w:style w:type="paragraph" w:styleId="17">
    <w:name w:val="footer"/>
    <w:qFormat/>
    <w:uiPriority w:val="99"/>
    <w:pPr>
      <w:widowControl w:val="0"/>
      <w:tabs>
        <w:tab w:val="center" w:pos="4153"/>
        <w:tab w:val="right" w:pos="8306"/>
      </w:tabs>
      <w:snapToGrid w:val="0"/>
      <w:jc w:val="left"/>
    </w:pPr>
    <w:rPr>
      <w:rFonts w:ascii="Times New Roman" w:hAnsi="Times New Roman" w:eastAsia="宋体" w:cs="Times New Roman"/>
      <w:kern w:val="0"/>
      <w:sz w:val="18"/>
      <w:szCs w:val="20"/>
      <w:lang w:val="en-US" w:eastAsia="zh-CN" w:bidi="ar-SA"/>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Subtitle"/>
    <w:basedOn w:val="1"/>
    <w:next w:val="1"/>
    <w:qFormat/>
    <w:uiPriority w:val="11"/>
    <w:pPr>
      <w:jc w:val="center"/>
    </w:pPr>
    <w:rPr>
      <w:rFonts w:eastAsia="仿宋_GB2312"/>
      <w:bCs/>
      <w:kern w:val="28"/>
      <w:sz w:val="21"/>
      <w:szCs w:val="32"/>
      <w:lang w:val="en-US" w:eastAsia="zh-CN" w:bidi="ar-SA"/>
    </w:rPr>
  </w:style>
  <w:style w:type="paragraph" w:styleId="20">
    <w:name w:val="table of figures"/>
    <w:next w:val="1"/>
    <w:qFormat/>
    <w:uiPriority w:val="0"/>
    <w:pPr>
      <w:widowControl w:val="0"/>
      <w:spacing w:line="360" w:lineRule="auto"/>
      <w:ind w:leftChars="200" w:hanging="200" w:hangingChars="200"/>
      <w:jc w:val="both"/>
    </w:pPr>
    <w:rPr>
      <w:rFonts w:ascii="Times New Roman" w:hAnsi="Times New Roman" w:eastAsia="宋体" w:cs="Times New Roman"/>
      <w:kern w:val="2"/>
      <w:sz w:val="24"/>
      <w:szCs w:val="24"/>
      <w:lang w:val="en-US" w:eastAsia="zh-CN" w:bidi="ar-SA"/>
    </w:rPr>
  </w:style>
  <w:style w:type="paragraph" w:styleId="21">
    <w:name w:val="Body Text 2"/>
    <w:qFormat/>
    <w:uiPriority w:val="0"/>
    <w:pPr>
      <w:widowControl w:val="0"/>
      <w:spacing w:after="120" w:line="480" w:lineRule="auto"/>
      <w:ind w:firstLine="200" w:firstLineChars="200"/>
      <w:jc w:val="both"/>
    </w:pPr>
    <w:rPr>
      <w:rFonts w:ascii="Times New Roman" w:hAnsi="Times New Roman" w:eastAsia="宋体" w:cs="Times New Roman"/>
      <w:kern w:val="2"/>
      <w:sz w:val="28"/>
      <w:szCs w:val="22"/>
      <w:lang w:val="en-US" w:eastAsia="zh-CN" w:bidi="ar-SA"/>
    </w:rPr>
  </w:style>
  <w:style w:type="paragraph" w:styleId="22">
    <w:name w:val="Normal (Web)"/>
    <w:next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23">
    <w:name w:val="Body Text First Indent"/>
    <w:next w:val="1"/>
    <w:qFormat/>
    <w:uiPriority w:val="0"/>
    <w:pPr>
      <w:widowControl/>
      <w:snapToGrid w:val="0"/>
      <w:spacing w:before="60" w:after="120" w:afterLines="0" w:line="240" w:lineRule="auto"/>
      <w:ind w:right="113" w:firstLine="420" w:firstLineChars="100"/>
      <w:jc w:val="both"/>
    </w:pPr>
    <w:rPr>
      <w:rFonts w:ascii="Times New Roman" w:hAnsi="Times New Roman" w:eastAsia="宋体" w:cs="Times New Roman"/>
      <w:kern w:val="0"/>
      <w:sz w:val="21"/>
      <w:szCs w:val="20"/>
      <w:lang w:val="en-US" w:eastAsia="zh-CN" w:bidi="ar-SA"/>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7">
    <w:name w:val="Strong"/>
    <w:basedOn w:val="26"/>
    <w:qFormat/>
    <w:uiPriority w:val="0"/>
    <w:rPr>
      <w:b/>
    </w:rPr>
  </w:style>
  <w:style w:type="character" w:styleId="28">
    <w:name w:val="page number"/>
    <w:qFormat/>
    <w:uiPriority w:val="0"/>
  </w:style>
  <w:style w:type="character" w:styleId="29">
    <w:name w:val="Hyperlink"/>
    <w:basedOn w:val="26"/>
    <w:qFormat/>
    <w:uiPriority w:val="0"/>
    <w:rPr>
      <w:color w:val="0000FF"/>
      <w:u w:val="single"/>
    </w:rPr>
  </w:style>
  <w:style w:type="character" w:styleId="30">
    <w:name w:val="annotation reference"/>
    <w:semiHidden/>
    <w:qFormat/>
    <w:uiPriority w:val="0"/>
    <w:rPr>
      <w:sz w:val="21"/>
    </w:rPr>
  </w:style>
  <w:style w:type="paragraph" w:customStyle="1" w:styleId="31">
    <w:name w:val="表格"/>
    <w:next w:val="1"/>
    <w:qFormat/>
    <w:uiPriority w:val="0"/>
    <w:pPr>
      <w:widowControl w:val="0"/>
      <w:adjustRightInd w:val="0"/>
      <w:snapToGrid w:val="0"/>
      <w:spacing w:beforeLines="10" w:afterLines="10" w:line="259" w:lineRule="auto"/>
      <w:ind w:firstLine="420"/>
      <w:jc w:val="center"/>
    </w:pPr>
    <w:rPr>
      <w:rFonts w:ascii="宋体" w:hAnsi="Times New Roman" w:eastAsia="宋体" w:cs="Times New Roman"/>
      <w:kern w:val="0"/>
      <w:sz w:val="20"/>
      <w:szCs w:val="20"/>
      <w:lang w:val="en-US" w:eastAsia="zh-CN" w:bidi="ar-SA"/>
    </w:rPr>
  </w:style>
  <w:style w:type="paragraph" w:customStyle="1" w:styleId="32">
    <w:name w:val="环评表格"/>
    <w:basedOn w:val="1"/>
    <w:link w:val="50"/>
    <w:qFormat/>
    <w:uiPriority w:val="0"/>
    <w:pPr>
      <w:spacing w:line="240" w:lineRule="auto"/>
      <w:jc w:val="center"/>
    </w:pPr>
    <w:rPr>
      <w:rFonts w:hint="eastAsia" w:ascii="Times New Roman" w:hAnsi="Times New Roman" w:eastAsia="宋体" w:cs="Times New Roman"/>
      <w:sz w:val="21"/>
      <w:szCs w:val="21"/>
    </w:rPr>
  </w:style>
  <w:style w:type="paragraph" w:customStyle="1" w:styleId="33">
    <w:name w:val="D正文"/>
    <w:qFormat/>
    <w:uiPriority w:val="0"/>
    <w:pPr>
      <w:widowControl w:val="0"/>
      <w:bidi/>
      <w:spacing w:line="240" w:lineRule="auto"/>
      <w:ind w:firstLine="0"/>
      <w:jc w:val="center"/>
    </w:pPr>
    <w:rPr>
      <w:rFonts w:ascii="Times New Roman" w:hAnsi="Times New Roman" w:eastAsia="宋体" w:cs="Times New Roman"/>
      <w:kern w:val="2"/>
      <w:sz w:val="21"/>
      <w:szCs w:val="21"/>
      <w:lang w:val="en-US" w:eastAsia="zh-CN" w:bidi="ar-SA"/>
    </w:rPr>
  </w:style>
  <w:style w:type="paragraph" w:customStyle="1" w:styleId="34">
    <w:name w:val="Char"/>
    <w:next w:val="7"/>
    <w:qFormat/>
    <w:uiPriority w:val="0"/>
    <w:pPr>
      <w:widowControl w:val="0"/>
      <w:spacing w:line="360" w:lineRule="auto"/>
      <w:jc w:val="both"/>
    </w:pPr>
    <w:rPr>
      <w:rFonts w:ascii="宋体" w:hAnsi="宋体" w:eastAsia="宋体" w:cs="Times New Roman"/>
      <w:kern w:val="2"/>
      <w:sz w:val="24"/>
      <w:szCs w:val="24"/>
      <w:lang w:val="en-US" w:eastAsia="zh-CN" w:bidi="ar-SA"/>
    </w:rPr>
  </w:style>
  <w:style w:type="paragraph" w:styleId="35">
    <w:name w:val="List Paragraph"/>
    <w:next w:val="1"/>
    <w:qFormat/>
    <w:uiPriority w:val="1"/>
    <w:pPr>
      <w:widowControl w:val="0"/>
      <w:spacing w:line="400" w:lineRule="exact"/>
      <w:ind w:firstLine="420" w:firstLineChars="200"/>
      <w:jc w:val="both"/>
    </w:pPr>
    <w:rPr>
      <w:rFonts w:ascii="Times New Roman" w:hAnsi="Times New Roman" w:eastAsia="宋体" w:cs="Times New Roman"/>
      <w:kern w:val="2"/>
      <w:sz w:val="24"/>
      <w:szCs w:val="24"/>
      <w:lang w:val="en-US" w:eastAsia="zh-CN" w:bidi="ar-SA"/>
    </w:rPr>
  </w:style>
  <w:style w:type="paragraph" w:customStyle="1" w:styleId="36">
    <w:name w:val="样式 正文缩进正文缩进2正文缩进 Char Char正文缩进 Char Char Char Char正文缩进 Char ..."/>
    <w:next w:val="1"/>
    <w:qFormat/>
    <w:uiPriority w:val="0"/>
    <w:pPr>
      <w:widowControl w:val="0"/>
      <w:spacing w:line="360" w:lineRule="auto"/>
      <w:ind w:firstLine="200" w:firstLineChars="0"/>
      <w:jc w:val="both"/>
    </w:pPr>
    <w:rPr>
      <w:rFonts w:ascii="宋体" w:hAnsi="Times New Roman" w:eastAsia="宋体" w:cs="宋体"/>
      <w:kern w:val="2"/>
      <w:sz w:val="24"/>
      <w:szCs w:val="20"/>
      <w:lang w:val="en-US" w:eastAsia="zh-CN" w:bidi="ar-SA"/>
    </w:rPr>
  </w:style>
  <w:style w:type="paragraph" w:customStyle="1" w:styleId="37">
    <w:name w:val="p0"/>
    <w:qFormat/>
    <w:uiPriority w:val="0"/>
    <w:pPr>
      <w:widowControl/>
      <w:jc w:val="both"/>
    </w:pPr>
    <w:rPr>
      <w:rFonts w:ascii="Times New Roman" w:hAnsi="Times New Roman" w:eastAsia="宋体" w:cs="Times New Roman"/>
      <w:color w:val="000000"/>
      <w:kern w:val="0"/>
      <w:sz w:val="21"/>
      <w:szCs w:val="21"/>
      <w:lang w:val="en-US" w:eastAsia="zh-CN" w:bidi="ar-SA"/>
    </w:rPr>
  </w:style>
  <w:style w:type="paragraph" w:customStyle="1" w:styleId="38">
    <w:name w:val="Default"/>
    <w:next w:val="1"/>
    <w:unhideWhenUsed/>
    <w:qFormat/>
    <w:uiPriority w:val="0"/>
    <w:pPr>
      <w:widowControl w:val="0"/>
      <w:autoSpaceDE w:val="0"/>
      <w:autoSpaceDN w:val="0"/>
      <w:adjustRightInd w:val="0"/>
    </w:pPr>
    <w:rPr>
      <w:rFonts w:ascii="宋体" w:hAnsi="宋体" w:eastAsia="宋体" w:cs="Times New Roman"/>
      <w:color w:val="000000"/>
      <w:kern w:val="2"/>
      <w:sz w:val="24"/>
      <w:szCs w:val="24"/>
      <w:lang w:val="en-US" w:eastAsia="zh-CN" w:bidi="ar-SA"/>
    </w:rPr>
  </w:style>
  <w:style w:type="paragraph" w:customStyle="1" w:styleId="39">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0">
    <w:name w:val="表格样式"/>
    <w:qFormat/>
    <w:uiPriority w:val="0"/>
    <w:pPr>
      <w:widowControl w:val="0"/>
      <w:jc w:val="center"/>
    </w:pPr>
    <w:rPr>
      <w:rFonts w:ascii="Times New Roman" w:hAnsi="Times New Roman" w:eastAsia="宋体" w:cs="Times New Roman"/>
      <w:kern w:val="2"/>
      <w:sz w:val="21"/>
      <w:szCs w:val="24"/>
      <w:lang w:val="en-US" w:eastAsia="zh-CN" w:bidi="ar-SA"/>
    </w:rPr>
  </w:style>
  <w:style w:type="paragraph" w:customStyle="1" w:styleId="41">
    <w:name w:val="1正文段落"/>
    <w:qFormat/>
    <w:uiPriority w:val="99"/>
    <w:pPr>
      <w:widowControl w:val="0"/>
      <w:spacing w:line="360" w:lineRule="auto"/>
      <w:ind w:firstLine="480" w:firstLineChars="200"/>
      <w:jc w:val="both"/>
    </w:pPr>
    <w:rPr>
      <w:rFonts w:ascii="Times New Roman" w:hAnsi="Times New Roman" w:eastAsia="宋体" w:cs="Times New Roman"/>
      <w:kern w:val="0"/>
      <w:sz w:val="24"/>
      <w:szCs w:val="24"/>
      <w:lang w:val="en-US" w:eastAsia="zh-CN" w:bidi="ar-SA"/>
    </w:rPr>
  </w:style>
  <w:style w:type="character" w:customStyle="1" w:styleId="42">
    <w:name w:val="标题 1 Char"/>
    <w:link w:val="5"/>
    <w:qFormat/>
    <w:uiPriority w:val="0"/>
    <w:rPr>
      <w:rFonts w:ascii="Times New Roman" w:hAnsi="Times New Roman" w:eastAsia="宋体" w:cs="Times New Roman"/>
      <w:b/>
      <w:kern w:val="44"/>
      <w:sz w:val="30"/>
    </w:rPr>
  </w:style>
  <w:style w:type="paragraph" w:customStyle="1" w:styleId="43">
    <w:name w:val="Table Paragraph"/>
    <w:qFormat/>
    <w:uiPriority w:val="1"/>
    <w:pPr>
      <w:widowControl w:val="0"/>
      <w:spacing w:line="360" w:lineRule="auto"/>
      <w:jc w:val="center"/>
    </w:pPr>
    <w:rPr>
      <w:rFonts w:ascii="宋体" w:hAnsi="宋体" w:eastAsia="宋体" w:cs="宋体"/>
      <w:kern w:val="0"/>
      <w:sz w:val="22"/>
      <w:szCs w:val="22"/>
      <w:lang w:val="en-US" w:eastAsia="en-US" w:bidi="ar-SA"/>
    </w:rPr>
  </w:style>
  <w:style w:type="paragraph" w:customStyle="1" w:styleId="44">
    <w:name w:val="纯文本1"/>
    <w:next w:val="14"/>
    <w:qFormat/>
    <w:uiPriority w:val="0"/>
    <w:pPr>
      <w:widowControl w:val="0"/>
      <w:adjustRightInd w:val="0"/>
      <w:spacing w:line="360" w:lineRule="auto"/>
      <w:jc w:val="both"/>
    </w:pPr>
    <w:rPr>
      <w:rFonts w:ascii="宋体" w:hAnsi="Courier New" w:eastAsia="宋体" w:cs="Times New Roman"/>
      <w:kern w:val="2"/>
      <w:sz w:val="24"/>
      <w:szCs w:val="20"/>
      <w:lang w:val="en-US" w:eastAsia="zh-CN" w:bidi="ar-SA"/>
    </w:rPr>
  </w:style>
  <w:style w:type="paragraph" w:customStyle="1" w:styleId="45">
    <w:name w:val="0正文"/>
    <w:qFormat/>
    <w:uiPriority w:val="0"/>
    <w:pPr>
      <w:widowControl w:val="0"/>
      <w:spacing w:after="120" w:line="360" w:lineRule="auto"/>
      <w:ind w:left="420" w:leftChars="200" w:firstLine="720" w:firstLineChars="200"/>
      <w:jc w:val="both"/>
    </w:pPr>
    <w:rPr>
      <w:rFonts w:ascii="Times New Roman" w:hAnsi="Times New Roman" w:eastAsia="宋体" w:cs="Times New Roman"/>
      <w:kern w:val="0"/>
      <w:sz w:val="24"/>
      <w:szCs w:val="22"/>
      <w:lang w:val="en-US" w:eastAsia="zh-CN" w:bidi="ar-SA"/>
    </w:rPr>
  </w:style>
  <w:style w:type="paragraph" w:customStyle="1" w:styleId="46">
    <w:name w:val="正文 03"/>
    <w:qFormat/>
    <w:uiPriority w:val="0"/>
    <w:pPr>
      <w:widowControl w:val="0"/>
      <w:autoSpaceDE w:val="0"/>
      <w:autoSpaceDN w:val="0"/>
      <w:adjustRightInd w:val="0"/>
      <w:spacing w:line="360" w:lineRule="auto"/>
      <w:jc w:val="both"/>
      <w:textAlignment w:val="baseline"/>
    </w:pPr>
    <w:rPr>
      <w:rFonts w:ascii="Times New Roman" w:hAnsi="Times New Roman" w:eastAsia="楷体_GB2312" w:cs="Times New Roman"/>
      <w:kern w:val="0"/>
      <w:sz w:val="24"/>
      <w:szCs w:val="20"/>
      <w:lang w:val="en-US" w:eastAsia="zh-CN" w:bidi="ar-SA"/>
    </w:rPr>
  </w:style>
  <w:style w:type="paragraph" w:customStyle="1" w:styleId="47">
    <w:name w:val="段"/>
    <w:qFormat/>
    <w:uiPriority w:val="0"/>
    <w:pPr>
      <w:autoSpaceDE w:val="0"/>
      <w:autoSpaceDN w:val="0"/>
      <w:ind w:firstLine="200" w:firstLineChars="200"/>
      <w:jc w:val="both"/>
    </w:pPr>
    <w:rPr>
      <w:rFonts w:ascii="宋体" w:hAnsi="Times New Roman" w:eastAsia="微软雅黑" w:cs="Times New Roman"/>
      <w:sz w:val="21"/>
      <w:lang w:val="en-US" w:eastAsia="zh-CN" w:bidi="ar-SA"/>
    </w:rPr>
  </w:style>
  <w:style w:type="paragraph" w:customStyle="1" w:styleId="48">
    <w:name w:val="表格文字"/>
    <w:qFormat/>
    <w:uiPriority w:val="0"/>
    <w:pPr>
      <w:widowControl w:val="0"/>
      <w:spacing w:line="360" w:lineRule="auto"/>
      <w:jc w:val="center"/>
    </w:pPr>
    <w:rPr>
      <w:rFonts w:ascii="Times New Roman" w:hAnsi="Times New Roman" w:eastAsia="宋体" w:cs="宋体"/>
      <w:kern w:val="2"/>
      <w:sz w:val="24"/>
      <w:szCs w:val="22"/>
      <w:lang w:val="en-US" w:eastAsia="zh-CN" w:bidi="ar-SA"/>
    </w:rPr>
  </w:style>
  <w:style w:type="paragraph" w:customStyle="1" w:styleId="49">
    <w:name w:val="表格内容"/>
    <w:basedOn w:val="10"/>
    <w:qFormat/>
    <w:uiPriority w:val="0"/>
    <w:pPr>
      <w:spacing w:line="240" w:lineRule="auto"/>
      <w:ind w:firstLine="0" w:firstLineChars="0"/>
      <w:jc w:val="center"/>
    </w:pPr>
    <w:rPr>
      <w:sz w:val="21"/>
      <w:szCs w:val="18"/>
    </w:rPr>
  </w:style>
  <w:style w:type="character" w:customStyle="1" w:styleId="50">
    <w:name w:val="环评表格 Char"/>
    <w:link w:val="32"/>
    <w:qFormat/>
    <w:uiPriority w:val="0"/>
    <w:rPr>
      <w:rFonts w:hint="eastAsia" w:ascii="Times New Roman" w:hAnsi="Times New Roman" w:eastAsia="宋体" w:cs="Times New Roman"/>
      <w:sz w:val="21"/>
      <w:szCs w:val="21"/>
    </w:rPr>
  </w:style>
  <w:style w:type="character" w:customStyle="1" w:styleId="51">
    <w:name w:val="font21"/>
    <w:basedOn w:val="26"/>
    <w:qFormat/>
    <w:uiPriority w:val="0"/>
    <w:rPr>
      <w:rFonts w:hint="eastAsia" w:ascii="宋体" w:hAnsi="宋体" w:eastAsia="宋体" w:cs="宋体"/>
      <w:color w:val="000000"/>
      <w:sz w:val="21"/>
      <w:szCs w:val="21"/>
      <w:u w:val="none"/>
      <w:vertAlign w:val="subscript"/>
    </w:rPr>
  </w:style>
  <w:style w:type="character" w:customStyle="1" w:styleId="52">
    <w:name w:val="font11"/>
    <w:basedOn w:val="26"/>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microsoft.com/office/2006/relationships/keyMapCustomizations" Target="customizations.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6.bin"/><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39935</Words>
  <Characters>45408</Characters>
  <Lines>0</Lines>
  <Paragraphs>0</Paragraphs>
  <TotalTime>14</TotalTime>
  <ScaleCrop>false</ScaleCrop>
  <LinksUpToDate>false</LinksUpToDate>
  <CharactersWithSpaces>45602</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2024-03-07T07:30:00Z</dcterms:created>
  <dc:creator>Administrator</dc:creator>
  <cp:lastModifiedBy>WPS_1528041025</cp:lastModifiedBy>
  <cp:lastPrinted>2024-10-16T03:55:00Z</cp:lastPrinted>
  <dcterms:modified xsi:type="dcterms:W3CDTF">2024-10-19T14:36:22Z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350B0E7AF10043AE97539B57C21D5AB4_12</vt:lpwstr>
  </property>
</Properties>
</file>